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E28C" w14:textId="165422A8" w:rsidR="000711C1" w:rsidRDefault="0002485D" w:rsidP="0002485D">
      <w:pPr>
        <w:rPr>
          <w:rFonts w:ascii="Arial" w:hAnsi="Arial" w:cs="Arial"/>
          <w:b/>
          <w:sz w:val="28"/>
          <w:szCs w:val="28"/>
        </w:rPr>
      </w:pPr>
      <w:r>
        <w:rPr>
          <w:rFonts w:ascii="Arial" w:hAnsi="Arial" w:cs="Arial"/>
          <w:b/>
          <w:sz w:val="28"/>
          <w:szCs w:val="28"/>
        </w:rPr>
        <w:t>Requiring Declaration of Land Restriction (Nonconversion Agreement)</w:t>
      </w:r>
      <w:r w:rsidRPr="0002485D">
        <w:rPr>
          <w:rFonts w:ascii="Arial" w:hAnsi="Arial" w:cs="Arial"/>
          <w:sz w:val="28"/>
          <w:szCs w:val="28"/>
        </w:rPr>
        <w:t xml:space="preserve"> </w:t>
      </w:r>
      <w:r w:rsidRPr="0002485D">
        <w:rPr>
          <w:rFonts w:ascii="Arial" w:hAnsi="Arial" w:cs="Arial"/>
          <w:b/>
          <w:sz w:val="28"/>
          <w:szCs w:val="28"/>
        </w:rPr>
        <w:t>for</w:t>
      </w:r>
      <w:r>
        <w:rPr>
          <w:rFonts w:ascii="Arial" w:hAnsi="Arial" w:cs="Arial"/>
          <w:sz w:val="28"/>
          <w:szCs w:val="28"/>
        </w:rPr>
        <w:t xml:space="preserve"> </w:t>
      </w:r>
      <w:r w:rsidRPr="0002485D">
        <w:rPr>
          <w:rFonts w:ascii="Arial" w:hAnsi="Arial" w:cs="Arial"/>
          <w:b/>
          <w:sz w:val="28"/>
          <w:szCs w:val="28"/>
        </w:rPr>
        <w:t>Enclosures Under Elevated Buildings</w:t>
      </w:r>
      <w:r>
        <w:rPr>
          <w:rFonts w:ascii="Arial" w:hAnsi="Arial" w:cs="Arial"/>
          <w:b/>
          <w:sz w:val="28"/>
          <w:szCs w:val="28"/>
        </w:rPr>
        <w:t xml:space="preserve"> </w:t>
      </w:r>
      <w:r w:rsidRPr="0002485D">
        <w:rPr>
          <w:rFonts w:ascii="Arial" w:hAnsi="Arial" w:cs="Arial"/>
          <w:b/>
          <w:sz w:val="28"/>
          <w:szCs w:val="28"/>
        </w:rPr>
        <w:t xml:space="preserve">– local </w:t>
      </w:r>
      <w:r w:rsidR="003A6B0B">
        <w:rPr>
          <w:rFonts w:ascii="Arial" w:hAnsi="Arial" w:cs="Arial"/>
          <w:b/>
          <w:sz w:val="28"/>
          <w:szCs w:val="28"/>
        </w:rPr>
        <w:t>administrative</w:t>
      </w:r>
      <w:r w:rsidRPr="0002485D">
        <w:rPr>
          <w:rFonts w:ascii="Arial" w:hAnsi="Arial" w:cs="Arial"/>
          <w:b/>
          <w:sz w:val="28"/>
          <w:szCs w:val="28"/>
        </w:rPr>
        <w:t xml:space="preserve"> code amendments (FBC, R and FBC, B)</w:t>
      </w:r>
    </w:p>
    <w:p w14:paraId="65060A45" w14:textId="77777777" w:rsidR="0002485D" w:rsidRDefault="0002485D" w:rsidP="0002485D">
      <w:pPr>
        <w:rPr>
          <w:rFonts w:ascii="Arial" w:hAnsi="Arial" w:cs="Arial"/>
          <w:b/>
          <w:sz w:val="28"/>
          <w:szCs w:val="28"/>
        </w:rPr>
      </w:pPr>
    </w:p>
    <w:p w14:paraId="33C4EB2F" w14:textId="34C24599" w:rsidR="0002485D" w:rsidRPr="00F901B7" w:rsidRDefault="0002485D" w:rsidP="0002485D">
      <w:pPr>
        <w:rPr>
          <w:rFonts w:cstheme="minorHAnsi"/>
          <w:sz w:val="26"/>
          <w:szCs w:val="26"/>
        </w:rPr>
      </w:pPr>
      <w:r w:rsidRPr="00F901B7">
        <w:rPr>
          <w:rFonts w:cstheme="minorHAnsi"/>
          <w:b/>
          <w:sz w:val="26"/>
          <w:szCs w:val="26"/>
          <w:u w:val="single"/>
        </w:rPr>
        <w:t>Description</w:t>
      </w:r>
      <w:r w:rsidRPr="00F901B7">
        <w:rPr>
          <w:rFonts w:cstheme="minorHAnsi"/>
          <w:b/>
          <w:sz w:val="26"/>
          <w:szCs w:val="26"/>
        </w:rPr>
        <w:t>:</w:t>
      </w:r>
      <w:r w:rsidRPr="00F901B7">
        <w:rPr>
          <w:rFonts w:cstheme="minorHAnsi"/>
          <w:sz w:val="26"/>
          <w:szCs w:val="26"/>
        </w:rPr>
        <w:t xml:space="preserve">  The NFIP regulations and the </w:t>
      </w:r>
      <w:r w:rsidRPr="00F901B7">
        <w:rPr>
          <w:rFonts w:cstheme="minorHAnsi"/>
          <w:i/>
          <w:sz w:val="26"/>
          <w:szCs w:val="26"/>
        </w:rPr>
        <w:t>Florida Building Code</w:t>
      </w:r>
      <w:r w:rsidRPr="00F901B7">
        <w:rPr>
          <w:rFonts w:cstheme="minorHAnsi"/>
          <w:sz w:val="26"/>
          <w:szCs w:val="26"/>
        </w:rPr>
        <w:t xml:space="preserve"> (FBC) allow areas under elevated buildings to be enclosed with walls.  Any enclosed area must be limited to use for parking of vehicles, storage, and building access.  The NFIP </w:t>
      </w:r>
      <w:r w:rsidR="003A6B0B" w:rsidRPr="00F901B7">
        <w:rPr>
          <w:rFonts w:cstheme="minorHAnsi"/>
          <w:sz w:val="26"/>
          <w:szCs w:val="26"/>
        </w:rPr>
        <w:t xml:space="preserve">regulations </w:t>
      </w:r>
      <w:r w:rsidRPr="00F901B7">
        <w:rPr>
          <w:rFonts w:cstheme="minorHAnsi"/>
          <w:sz w:val="26"/>
          <w:szCs w:val="26"/>
        </w:rPr>
        <w:t>do not require a</w:t>
      </w:r>
      <w:r w:rsidR="00C61BF5" w:rsidRPr="00F901B7">
        <w:rPr>
          <w:rFonts w:cstheme="minorHAnsi"/>
          <w:sz w:val="26"/>
          <w:szCs w:val="26"/>
        </w:rPr>
        <w:t>ny form of owner agreement regarding modification or conversion of enclosures</w:t>
      </w:r>
      <w:r w:rsidRPr="00F901B7">
        <w:rPr>
          <w:rFonts w:cstheme="minorHAnsi"/>
          <w:sz w:val="26"/>
          <w:szCs w:val="26"/>
        </w:rPr>
        <w:t xml:space="preserve">.  Walls of enclosed areas must meet specific requirements depending on the flood zone:  </w:t>
      </w:r>
    </w:p>
    <w:p w14:paraId="247F360E" w14:textId="43EF5FAD" w:rsidR="0002485D" w:rsidRPr="00F901B7" w:rsidRDefault="00404DB7" w:rsidP="0002485D">
      <w:pPr>
        <w:pStyle w:val="ListParagraph"/>
        <w:numPr>
          <w:ilvl w:val="0"/>
          <w:numId w:val="1"/>
        </w:numPr>
        <w:rPr>
          <w:rFonts w:asciiTheme="minorHAnsi" w:hAnsiTheme="minorHAnsi" w:cstheme="minorHAnsi"/>
          <w:sz w:val="26"/>
          <w:szCs w:val="26"/>
        </w:rPr>
      </w:pPr>
      <w:r w:rsidRPr="005C6C8A">
        <w:rPr>
          <w:rFonts w:asciiTheme="minorHAnsi" w:hAnsiTheme="minorHAnsi" w:cstheme="minorHAnsi"/>
          <w:noProof/>
          <w:sz w:val="26"/>
          <w:szCs w:val="26"/>
          <w:u w:val="single"/>
        </w:rPr>
        <mc:AlternateContent>
          <mc:Choice Requires="wps">
            <w:drawing>
              <wp:anchor distT="0" distB="0" distL="114300" distR="114300" simplePos="0" relativeHeight="251659264" behindDoc="1" locked="0" layoutInCell="1" allowOverlap="1" wp14:anchorId="1059C995" wp14:editId="241E87E1">
                <wp:simplePos x="0" y="0"/>
                <wp:positionH relativeFrom="column">
                  <wp:posOffset>3724275</wp:posOffset>
                </wp:positionH>
                <wp:positionV relativeFrom="paragraph">
                  <wp:posOffset>11430</wp:posOffset>
                </wp:positionV>
                <wp:extent cx="2286635" cy="1276350"/>
                <wp:effectExtent l="0" t="0" r="18415" b="19050"/>
                <wp:wrapTight wrapText="bothSides">
                  <wp:wrapPolygon edited="0">
                    <wp:start x="0" y="0"/>
                    <wp:lineTo x="0" y="21600"/>
                    <wp:lineTo x="21594" y="21600"/>
                    <wp:lineTo x="215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276350"/>
                        </a:xfrm>
                        <a:prstGeom prst="rect">
                          <a:avLst/>
                        </a:prstGeom>
                        <a:solidFill>
                          <a:srgbClr val="FFFFFF"/>
                        </a:solidFill>
                        <a:ln w="9525">
                          <a:solidFill>
                            <a:srgbClr val="000000"/>
                          </a:solidFill>
                          <a:miter lim="800000"/>
                          <a:headEnd/>
                          <a:tailEnd/>
                        </a:ln>
                      </wps:spPr>
                      <wps:txbx>
                        <w:txbxContent>
                          <w:p w14:paraId="5AFED8C6" w14:textId="77777777" w:rsidR="00404DB7" w:rsidRDefault="00404DB7" w:rsidP="00404DB7">
                            <w:pPr>
                              <w:rPr>
                                <w:b/>
                              </w:rPr>
                            </w:pPr>
                            <w:r>
                              <w:rPr>
                                <w:b/>
                              </w:rPr>
                              <w:t>New in 6</w:t>
                            </w:r>
                            <w:r w:rsidRPr="00404DB7">
                              <w:rPr>
                                <w:b/>
                                <w:vertAlign w:val="superscript"/>
                              </w:rPr>
                              <w:t>th</w:t>
                            </w:r>
                            <w:r>
                              <w:rPr>
                                <w:b/>
                              </w:rPr>
                              <w:t xml:space="preserve"> Ed. FBC.</w:t>
                            </w:r>
                          </w:p>
                          <w:p w14:paraId="37BEA9FB" w14:textId="4E5A40ED" w:rsidR="00404DB7" w:rsidRPr="00404DB7" w:rsidRDefault="00404DB7" w:rsidP="00404DB7">
                            <w:pPr>
                              <w:rPr>
                                <w:rFonts w:ascii="Arial" w:hAnsi="Arial" w:cs="Arial"/>
                                <w:sz w:val="20"/>
                                <w:szCs w:val="20"/>
                              </w:rPr>
                            </w:pPr>
                            <w:r>
                              <w:t>The 6</w:t>
                            </w:r>
                            <w:r>
                              <w:rPr>
                                <w:vertAlign w:val="superscript"/>
                              </w:rPr>
                              <w:t>th</w:t>
                            </w:r>
                            <w:r>
                              <w:t xml:space="preserve"> Edition FBC treats Coastal A Zone (CAZ) like Zone V if the FIRM has a LiMWA or the community designates the CAZ; flood openings are required in all walls, including breakaway walls.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9C995" id="_x0000_t202" coordsize="21600,21600" o:spt="202" path="m,l,21600r21600,l21600,xe">
                <v:stroke joinstyle="miter"/>
                <v:path gradientshapeok="t" o:connecttype="rect"/>
              </v:shapetype>
              <v:shape id="Text Box 2" o:spid="_x0000_s1026" type="#_x0000_t202" style="position:absolute;left:0;text-align:left;margin-left:293.25pt;margin-top:.9pt;width:180.0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">
                <v:textbox>
                  <w:txbxContent>
                    <w:p w14:paraId="5AFED8C6" w14:textId="77777777" w:rsidR="00404DB7" w:rsidRDefault="00404DB7" w:rsidP="00404DB7">
                      <w:pPr>
                        <w:rPr>
                          <w:b/>
                        </w:rPr>
                      </w:pPr>
                      <w:r>
                        <w:rPr>
                          <w:b/>
                        </w:rPr>
                        <w:t>New in 6</w:t>
                      </w:r>
                      <w:r w:rsidRPr="00404DB7">
                        <w:rPr>
                          <w:b/>
                          <w:vertAlign w:val="superscript"/>
                        </w:rPr>
                        <w:t>th</w:t>
                      </w:r>
                      <w:r>
                        <w:rPr>
                          <w:b/>
                        </w:rPr>
                        <w:t xml:space="preserve"> Ed. FBC.</w:t>
                      </w:r>
                    </w:p>
                    <w:p w14:paraId="37BEA9FB" w14:textId="4E5A40ED" w:rsidR="00404DB7" w:rsidRPr="00404DB7" w:rsidRDefault="00404DB7" w:rsidP="00404DB7">
                      <w:pPr>
                        <w:rPr>
                          <w:rFonts w:ascii="Arial" w:hAnsi="Arial" w:cs="Arial"/>
                          <w:sz w:val="20"/>
                          <w:szCs w:val="20"/>
                        </w:rPr>
                      </w:pPr>
                      <w:r>
                        <w:t>The 6</w:t>
                      </w:r>
                      <w:r>
                        <w:rPr>
                          <w:vertAlign w:val="superscript"/>
                        </w:rPr>
                        <w:t>th</w:t>
                      </w:r>
                      <w:r>
                        <w:t xml:space="preserve"> Edition FBC treats Coastal </w:t>
                      </w:r>
                      <w:proofErr w:type="gramStart"/>
                      <w:r>
                        <w:t>A</w:t>
                      </w:r>
                      <w:proofErr w:type="gramEnd"/>
                      <w:r>
                        <w:t xml:space="preserve"> Zone (CAZ) like Zone V if the FIRM has a </w:t>
                      </w:r>
                      <w:proofErr w:type="spellStart"/>
                      <w:r>
                        <w:t>LiMWA</w:t>
                      </w:r>
                      <w:proofErr w:type="spellEnd"/>
                      <w:r>
                        <w:t xml:space="preserve"> or the com</w:t>
                      </w:r>
                      <w:bookmarkStart w:id="1" w:name="_GoBack"/>
                      <w:bookmarkEnd w:id="1"/>
                      <w:r>
                        <w:t>munity designates the CAZ; flood openings are required in all walls, including breakaway walls.</w:t>
                      </w:r>
                    </w:p>
                  </w:txbxContent>
                </v:textbox>
                <w10:wrap type="tight"/>
              </v:shape>
            </w:pict>
          </mc:Fallback>
        </mc:AlternateContent>
      </w:r>
      <w:r w:rsidR="0002485D" w:rsidRPr="00F901B7">
        <w:rPr>
          <w:rFonts w:asciiTheme="minorHAnsi" w:hAnsiTheme="minorHAnsi" w:cstheme="minorHAnsi"/>
          <w:sz w:val="26"/>
          <w:szCs w:val="26"/>
        </w:rPr>
        <w:t xml:space="preserve">In Zone A, walls are required to have flood openings; and </w:t>
      </w:r>
    </w:p>
    <w:p w14:paraId="3F49719B" w14:textId="3248D435" w:rsidR="0002485D" w:rsidRPr="00F901B7" w:rsidRDefault="0002485D" w:rsidP="0002485D">
      <w:pPr>
        <w:pStyle w:val="ListParagraph"/>
        <w:numPr>
          <w:ilvl w:val="0"/>
          <w:numId w:val="1"/>
        </w:numPr>
        <w:rPr>
          <w:rFonts w:asciiTheme="minorHAnsi" w:hAnsiTheme="minorHAnsi" w:cstheme="minorHAnsi"/>
          <w:sz w:val="26"/>
          <w:szCs w:val="26"/>
        </w:rPr>
      </w:pPr>
      <w:r w:rsidRPr="00F901B7">
        <w:rPr>
          <w:rFonts w:asciiTheme="minorHAnsi" w:hAnsiTheme="minorHAnsi" w:cstheme="minorHAnsi"/>
          <w:sz w:val="26"/>
          <w:szCs w:val="26"/>
        </w:rPr>
        <w:t>In Zone V</w:t>
      </w:r>
      <w:r w:rsidR="009B3377">
        <w:rPr>
          <w:rFonts w:asciiTheme="minorHAnsi" w:hAnsiTheme="minorHAnsi" w:cstheme="minorHAnsi"/>
          <w:sz w:val="26"/>
          <w:szCs w:val="26"/>
        </w:rPr>
        <w:t xml:space="preserve"> and Coastal A Zones</w:t>
      </w:r>
      <w:r w:rsidR="00404DB7">
        <w:rPr>
          <w:rFonts w:asciiTheme="minorHAnsi" w:hAnsiTheme="minorHAnsi" w:cstheme="minorHAnsi"/>
          <w:sz w:val="26"/>
          <w:szCs w:val="26"/>
        </w:rPr>
        <w:t xml:space="preserve"> (CAZ)</w:t>
      </w:r>
      <w:r w:rsidRPr="00F901B7">
        <w:rPr>
          <w:rFonts w:asciiTheme="minorHAnsi" w:hAnsiTheme="minorHAnsi" w:cstheme="minorHAnsi"/>
          <w:sz w:val="26"/>
          <w:szCs w:val="26"/>
        </w:rPr>
        <w:t>, walls are required to break away under certain flood loads</w:t>
      </w:r>
      <w:r w:rsidR="009B3377">
        <w:rPr>
          <w:rFonts w:asciiTheme="minorHAnsi" w:hAnsiTheme="minorHAnsi" w:cstheme="minorHAnsi"/>
          <w:sz w:val="26"/>
          <w:szCs w:val="26"/>
        </w:rPr>
        <w:t xml:space="preserve"> and must also have flood openings</w:t>
      </w:r>
      <w:r w:rsidRPr="00F901B7">
        <w:rPr>
          <w:rFonts w:asciiTheme="minorHAnsi" w:hAnsiTheme="minorHAnsi" w:cstheme="minorHAnsi"/>
          <w:sz w:val="26"/>
          <w:szCs w:val="26"/>
        </w:rPr>
        <w:t xml:space="preserve">.  </w:t>
      </w:r>
    </w:p>
    <w:p w14:paraId="7F981BD3" w14:textId="4D40A464" w:rsidR="0002485D" w:rsidRPr="00F901B7" w:rsidRDefault="0002485D" w:rsidP="0002485D">
      <w:pPr>
        <w:rPr>
          <w:rFonts w:cstheme="minorHAnsi"/>
          <w:sz w:val="26"/>
          <w:szCs w:val="26"/>
        </w:rPr>
      </w:pPr>
      <w:r w:rsidRPr="00F901B7">
        <w:rPr>
          <w:rFonts w:cstheme="minorHAnsi"/>
          <w:sz w:val="26"/>
          <w:szCs w:val="26"/>
        </w:rPr>
        <w:t xml:space="preserve">NFIP flood insurance coverage (structure and contents) is more expensive if buildings have enclosed areas and coverage of enclosures is limited.  In Zone V, buildings with enclosures larger than 300 square feet in area are charged more than buildings with smaller enclosures. </w:t>
      </w:r>
    </w:p>
    <w:p w14:paraId="097069AA" w14:textId="7AE66A7E" w:rsidR="0002485D" w:rsidRPr="00F901B7" w:rsidRDefault="0002485D" w:rsidP="0002485D">
      <w:pPr>
        <w:rPr>
          <w:rFonts w:cstheme="minorHAnsi"/>
          <w:sz w:val="26"/>
          <w:szCs w:val="26"/>
        </w:rPr>
      </w:pPr>
    </w:p>
    <w:p w14:paraId="7CD174D2" w14:textId="77777777" w:rsidR="00C61BF5" w:rsidRPr="00F901B7" w:rsidRDefault="00C61BF5" w:rsidP="00C61BF5">
      <w:pPr>
        <w:rPr>
          <w:rFonts w:cstheme="minorHAnsi"/>
          <w:sz w:val="26"/>
          <w:szCs w:val="26"/>
        </w:rPr>
      </w:pPr>
      <w:r w:rsidRPr="00F901B7">
        <w:rPr>
          <w:rFonts w:cstheme="minorHAnsi"/>
          <w:b/>
          <w:sz w:val="26"/>
          <w:szCs w:val="26"/>
          <w:u w:val="single"/>
        </w:rPr>
        <w:t>Related Higher Standards:</w:t>
      </w:r>
      <w:r w:rsidRPr="00F901B7">
        <w:rPr>
          <w:rFonts w:cstheme="minorHAnsi"/>
          <w:b/>
          <w:sz w:val="26"/>
          <w:szCs w:val="26"/>
        </w:rPr>
        <w:t xml:space="preserve">  </w:t>
      </w:r>
      <w:r w:rsidRPr="00F901B7">
        <w:rPr>
          <w:rFonts w:cstheme="minorHAnsi"/>
          <w:sz w:val="26"/>
          <w:szCs w:val="26"/>
        </w:rPr>
        <w:t xml:space="preserve">See instructions for these other higher standards related to enclosures:  </w:t>
      </w:r>
    </w:p>
    <w:p w14:paraId="0A7B8A83" w14:textId="3C5DB656" w:rsidR="00C61BF5" w:rsidRPr="00F901B7" w:rsidRDefault="00C61BF5" w:rsidP="00C61BF5">
      <w:pPr>
        <w:pStyle w:val="ListParagraph"/>
        <w:numPr>
          <w:ilvl w:val="0"/>
          <w:numId w:val="2"/>
        </w:numPr>
        <w:rPr>
          <w:rFonts w:asciiTheme="minorHAnsi" w:hAnsiTheme="minorHAnsi" w:cstheme="minorHAnsi"/>
          <w:sz w:val="26"/>
          <w:szCs w:val="26"/>
        </w:rPr>
      </w:pPr>
      <w:r w:rsidRPr="00F901B7">
        <w:rPr>
          <w:rFonts w:asciiTheme="minorHAnsi" w:hAnsiTheme="minorHAnsi" w:cstheme="minorHAnsi"/>
          <w:sz w:val="26"/>
          <w:szCs w:val="26"/>
        </w:rPr>
        <w:t>Limiting the size of enclosed spaces below elevated buildings</w:t>
      </w:r>
      <w:r w:rsidR="00CD4A36" w:rsidRPr="00F901B7">
        <w:rPr>
          <w:rFonts w:asciiTheme="minorHAnsi" w:hAnsiTheme="minorHAnsi" w:cstheme="minorHAnsi"/>
          <w:sz w:val="26"/>
          <w:szCs w:val="26"/>
        </w:rPr>
        <w:t>;</w:t>
      </w:r>
    </w:p>
    <w:p w14:paraId="407D7E8F" w14:textId="36823136" w:rsidR="00C61BF5" w:rsidRPr="00F901B7" w:rsidRDefault="00C61BF5" w:rsidP="00C61BF5">
      <w:pPr>
        <w:pStyle w:val="ListParagraph"/>
        <w:numPr>
          <w:ilvl w:val="0"/>
          <w:numId w:val="2"/>
        </w:numPr>
        <w:rPr>
          <w:rFonts w:asciiTheme="minorHAnsi" w:hAnsiTheme="minorHAnsi" w:cstheme="minorHAnsi"/>
          <w:sz w:val="26"/>
          <w:szCs w:val="26"/>
        </w:rPr>
      </w:pPr>
      <w:r w:rsidRPr="00F901B7">
        <w:rPr>
          <w:rFonts w:asciiTheme="minorHAnsi" w:hAnsiTheme="minorHAnsi" w:cstheme="minorHAnsi"/>
          <w:sz w:val="26"/>
          <w:szCs w:val="26"/>
        </w:rPr>
        <w:t>Prohibiting partitions or prohibiting enclosures</w:t>
      </w:r>
      <w:r w:rsidR="00CD4A36" w:rsidRPr="00F901B7">
        <w:rPr>
          <w:rFonts w:asciiTheme="minorHAnsi" w:hAnsiTheme="minorHAnsi" w:cstheme="minorHAnsi"/>
          <w:sz w:val="26"/>
          <w:szCs w:val="26"/>
        </w:rPr>
        <w:t>.</w:t>
      </w:r>
    </w:p>
    <w:p w14:paraId="69B02A02" w14:textId="280AACCD" w:rsidR="00C61BF5" w:rsidRPr="00F901B7" w:rsidRDefault="0002485D" w:rsidP="0002485D">
      <w:pPr>
        <w:rPr>
          <w:rFonts w:cstheme="minorHAnsi"/>
          <w:sz w:val="26"/>
          <w:szCs w:val="26"/>
        </w:rPr>
      </w:pPr>
      <w:r w:rsidRPr="00F901B7">
        <w:rPr>
          <w:rFonts w:cstheme="minorHAnsi"/>
          <w:b/>
          <w:sz w:val="26"/>
          <w:szCs w:val="26"/>
          <w:u w:val="single"/>
        </w:rPr>
        <w:t>Declaration</w:t>
      </w:r>
      <w:r w:rsidR="00C61BF5" w:rsidRPr="00F901B7">
        <w:rPr>
          <w:rFonts w:cstheme="minorHAnsi"/>
          <w:b/>
          <w:sz w:val="26"/>
          <w:szCs w:val="26"/>
          <w:u w:val="single"/>
        </w:rPr>
        <w:t>s</w:t>
      </w:r>
      <w:r w:rsidRPr="00F901B7">
        <w:rPr>
          <w:rFonts w:cstheme="minorHAnsi"/>
          <w:b/>
          <w:sz w:val="26"/>
          <w:szCs w:val="26"/>
          <w:u w:val="single"/>
        </w:rPr>
        <w:t xml:space="preserve"> of Land Restriction</w:t>
      </w:r>
      <w:r w:rsidR="003A6B0B" w:rsidRPr="00F901B7">
        <w:rPr>
          <w:rFonts w:cstheme="minorHAnsi"/>
          <w:b/>
          <w:sz w:val="26"/>
          <w:szCs w:val="26"/>
          <w:u w:val="single"/>
        </w:rPr>
        <w:t xml:space="preserve"> (Nonconversion Agreement)</w:t>
      </w:r>
      <w:r w:rsidRPr="00F901B7">
        <w:rPr>
          <w:rFonts w:cstheme="minorHAnsi"/>
          <w:sz w:val="26"/>
          <w:szCs w:val="26"/>
          <w:u w:val="single"/>
        </w:rPr>
        <w:t>:</w:t>
      </w:r>
      <w:r w:rsidRPr="00F901B7">
        <w:rPr>
          <w:rFonts w:cstheme="minorHAnsi"/>
          <w:sz w:val="26"/>
          <w:szCs w:val="26"/>
        </w:rPr>
        <w:t xml:space="preserve">  Communities may elect to require nonconversion agreements for all enclosures. Such a requirement may be imposed independent of the other alternatives described </w:t>
      </w:r>
      <w:r w:rsidR="00956FD0" w:rsidRPr="00F901B7">
        <w:rPr>
          <w:rFonts w:cstheme="minorHAnsi"/>
          <w:sz w:val="26"/>
          <w:szCs w:val="26"/>
        </w:rPr>
        <w:t>above</w:t>
      </w:r>
      <w:r w:rsidRPr="00F901B7">
        <w:rPr>
          <w:rFonts w:cstheme="minorHAnsi"/>
          <w:sz w:val="26"/>
          <w:szCs w:val="26"/>
        </w:rPr>
        <w:t xml:space="preserve"> or combined with these alternatives.  The objective is to reduce the likelihood that owners, including future owners, might convert enclosures to uses other than permitted uses.   Please see the model agreement developed by DEM:  </w:t>
      </w:r>
      <w:hyperlink r:id="rId8" w:history="1">
        <w:r w:rsidR="0000023D">
          <w:rPr>
            <w:rStyle w:val="Hyperlink"/>
            <w:rFonts w:cstheme="minorHAnsi"/>
            <w:snapToGrid w:val="0"/>
            <w:sz w:val="26"/>
            <w:szCs w:val="26"/>
          </w:rPr>
          <w:t>https://www.floridadisaster.org/dem/mitigation/floodplain/</w:t>
        </w:r>
      </w:hyperlink>
      <w:r w:rsidR="0000023D">
        <w:rPr>
          <w:rFonts w:cstheme="minorHAnsi"/>
          <w:snapToGrid w:val="0"/>
          <w:color w:val="000000" w:themeColor="text1"/>
          <w:sz w:val="26"/>
          <w:szCs w:val="26"/>
        </w:rPr>
        <w:t xml:space="preserve"> (Community Resources)</w:t>
      </w:r>
      <w:bookmarkStart w:id="0" w:name="_GoBack"/>
      <w:bookmarkEnd w:id="0"/>
      <w:r w:rsidRPr="00F901B7">
        <w:rPr>
          <w:rFonts w:cstheme="minorHAnsi"/>
          <w:sz w:val="26"/>
          <w:szCs w:val="26"/>
        </w:rPr>
        <w:t xml:space="preserve">.  This model agreement is written to apply to specific enclosures and non-elevated </w:t>
      </w:r>
      <w:r w:rsidR="003A6B0B" w:rsidRPr="00F901B7">
        <w:rPr>
          <w:rFonts w:cstheme="minorHAnsi"/>
          <w:sz w:val="26"/>
          <w:szCs w:val="26"/>
        </w:rPr>
        <w:t xml:space="preserve">accessory </w:t>
      </w:r>
      <w:r w:rsidRPr="00F901B7">
        <w:rPr>
          <w:rFonts w:cstheme="minorHAnsi"/>
          <w:sz w:val="26"/>
          <w:szCs w:val="26"/>
        </w:rPr>
        <w:t>structures</w:t>
      </w:r>
      <w:r w:rsidR="003A6B0B" w:rsidRPr="00F901B7">
        <w:rPr>
          <w:rFonts w:cstheme="minorHAnsi"/>
          <w:sz w:val="26"/>
          <w:szCs w:val="26"/>
        </w:rPr>
        <w:t>, garages, and certain agricultural buildings on farms</w:t>
      </w:r>
      <w:r w:rsidRPr="00F901B7">
        <w:rPr>
          <w:rFonts w:cstheme="minorHAnsi"/>
          <w:sz w:val="26"/>
          <w:szCs w:val="26"/>
        </w:rPr>
        <w:t xml:space="preserve">.  </w:t>
      </w:r>
    </w:p>
    <w:p w14:paraId="45E8716E" w14:textId="77777777" w:rsidR="00C61BF5" w:rsidRPr="00F901B7" w:rsidRDefault="00C61BF5" w:rsidP="0002485D">
      <w:pPr>
        <w:rPr>
          <w:rFonts w:cstheme="minorHAnsi"/>
          <w:sz w:val="26"/>
          <w:szCs w:val="26"/>
        </w:rPr>
      </w:pPr>
    </w:p>
    <w:p w14:paraId="3892438C" w14:textId="211504FD" w:rsidR="0002485D" w:rsidRPr="00F901B7" w:rsidRDefault="00C61BF5" w:rsidP="0002485D">
      <w:pPr>
        <w:rPr>
          <w:rFonts w:cstheme="minorHAnsi"/>
          <w:sz w:val="26"/>
          <w:szCs w:val="26"/>
        </w:rPr>
      </w:pPr>
      <w:r w:rsidRPr="00F901B7">
        <w:rPr>
          <w:rFonts w:cstheme="minorHAnsi"/>
          <w:sz w:val="26"/>
          <w:szCs w:val="26"/>
        </w:rPr>
        <w:t>DEM’s model is called a Declaration of Land Restriction because recordation</w:t>
      </w:r>
      <w:r w:rsidR="00CD4A36" w:rsidRPr="00F901B7">
        <w:rPr>
          <w:rFonts w:cstheme="minorHAnsi"/>
          <w:sz w:val="26"/>
          <w:szCs w:val="26"/>
        </w:rPr>
        <w:t xml:space="preserve"> on the deed</w:t>
      </w:r>
      <w:r w:rsidRPr="00F901B7">
        <w:rPr>
          <w:rFonts w:cstheme="minorHAnsi"/>
          <w:sz w:val="26"/>
          <w:szCs w:val="26"/>
        </w:rPr>
        <w:t xml:space="preserve"> is specified. If you elect to not require recordation, call it a Nonconversion Agreement and modify the form.</w:t>
      </w:r>
      <w:r w:rsidRPr="00F901B7" w:rsidDel="00C61BF5">
        <w:rPr>
          <w:rFonts w:cstheme="minorHAnsi"/>
          <w:sz w:val="26"/>
          <w:szCs w:val="26"/>
        </w:rPr>
        <w:t xml:space="preserve"> </w:t>
      </w:r>
    </w:p>
    <w:p w14:paraId="5E3632D1" w14:textId="607949A4" w:rsidR="0002485D" w:rsidRPr="00F901B7" w:rsidRDefault="0002485D" w:rsidP="0002485D">
      <w:pPr>
        <w:rPr>
          <w:rFonts w:cstheme="minorHAnsi"/>
          <w:i/>
          <w:sz w:val="26"/>
          <w:szCs w:val="26"/>
        </w:rPr>
      </w:pPr>
    </w:p>
    <w:p w14:paraId="60485769" w14:textId="0DE84766" w:rsidR="0002485D" w:rsidRPr="00F901B7" w:rsidRDefault="003A6B0B" w:rsidP="0002485D">
      <w:pPr>
        <w:rPr>
          <w:rFonts w:cstheme="minorHAnsi"/>
          <w:sz w:val="26"/>
          <w:szCs w:val="26"/>
        </w:rPr>
      </w:pPr>
      <w:r w:rsidRPr="00F901B7">
        <w:rPr>
          <w:rFonts w:cstheme="minorHAnsi"/>
          <w:i/>
          <w:sz w:val="26"/>
          <w:szCs w:val="26"/>
        </w:rPr>
        <w:lastRenderedPageBreak/>
        <w:t xml:space="preserve">CRS </w:t>
      </w:r>
      <w:r w:rsidR="0002485D" w:rsidRPr="00F901B7">
        <w:rPr>
          <w:rFonts w:cstheme="minorHAnsi"/>
          <w:i/>
          <w:sz w:val="26"/>
          <w:szCs w:val="26"/>
        </w:rPr>
        <w:t>NOTE</w:t>
      </w:r>
      <w:r w:rsidRPr="00F901B7">
        <w:rPr>
          <w:rFonts w:cstheme="minorHAnsi"/>
          <w:i/>
          <w:sz w:val="26"/>
          <w:szCs w:val="26"/>
        </w:rPr>
        <w:t>:</w:t>
      </w:r>
      <w:r w:rsidR="0002485D" w:rsidRPr="00F901B7">
        <w:rPr>
          <w:rFonts w:cstheme="minorHAnsi"/>
          <w:sz w:val="26"/>
          <w:szCs w:val="26"/>
        </w:rPr>
        <w:t xml:space="preserve"> </w:t>
      </w:r>
      <w:r w:rsidR="00C61BF5" w:rsidRPr="00F901B7">
        <w:rPr>
          <w:rFonts w:cstheme="minorHAnsi"/>
          <w:sz w:val="26"/>
          <w:szCs w:val="26"/>
        </w:rPr>
        <w:t xml:space="preserve">DEM cannot advise how many CRS points may be available. According to the </w:t>
      </w:r>
      <w:r w:rsidR="008F0AC5">
        <w:rPr>
          <w:rFonts w:cstheme="minorHAnsi"/>
          <w:sz w:val="26"/>
          <w:szCs w:val="26"/>
        </w:rPr>
        <w:t>2017</w:t>
      </w:r>
      <w:r w:rsidR="008F0AC5" w:rsidRPr="00F901B7">
        <w:rPr>
          <w:rFonts w:cstheme="minorHAnsi"/>
          <w:sz w:val="26"/>
          <w:szCs w:val="26"/>
        </w:rPr>
        <w:t xml:space="preserve"> </w:t>
      </w:r>
      <w:r w:rsidR="00C61BF5" w:rsidRPr="00F901B7">
        <w:rPr>
          <w:rFonts w:cstheme="minorHAnsi"/>
          <w:sz w:val="26"/>
          <w:szCs w:val="26"/>
        </w:rPr>
        <w:t xml:space="preserve">CRS Coordinator’s Manual, to </w:t>
      </w:r>
      <w:r w:rsidR="0002485D" w:rsidRPr="00F901B7">
        <w:rPr>
          <w:rFonts w:cstheme="minorHAnsi"/>
          <w:sz w:val="26"/>
          <w:szCs w:val="26"/>
        </w:rPr>
        <w:t>qualify for the most CRS credits, nonconversion agreements must include a statement that the owner agrees the property can be entered and inspected at any time (</w:t>
      </w:r>
      <w:r w:rsidR="00F901B7" w:rsidRPr="00F901B7">
        <w:rPr>
          <w:rFonts w:cstheme="minorHAnsi"/>
          <w:sz w:val="26"/>
          <w:szCs w:val="26"/>
        </w:rPr>
        <w:t>more</w:t>
      </w:r>
      <w:r w:rsidR="0002485D" w:rsidRPr="00F901B7">
        <w:rPr>
          <w:rFonts w:cstheme="minorHAnsi"/>
          <w:sz w:val="26"/>
          <w:szCs w:val="26"/>
        </w:rPr>
        <w:t xml:space="preserve"> points </w:t>
      </w:r>
      <w:r w:rsidR="003373F6" w:rsidRPr="00F901B7">
        <w:rPr>
          <w:rFonts w:cstheme="minorHAnsi"/>
          <w:sz w:val="26"/>
          <w:szCs w:val="26"/>
        </w:rPr>
        <w:t xml:space="preserve">are available if the form </w:t>
      </w:r>
      <w:r w:rsidRPr="00F901B7">
        <w:rPr>
          <w:rFonts w:cstheme="minorHAnsi"/>
          <w:sz w:val="26"/>
          <w:szCs w:val="26"/>
        </w:rPr>
        <w:t>specifies</w:t>
      </w:r>
      <w:r w:rsidR="0002485D" w:rsidRPr="00F901B7">
        <w:rPr>
          <w:rFonts w:cstheme="minorHAnsi"/>
          <w:sz w:val="26"/>
          <w:szCs w:val="26"/>
        </w:rPr>
        <w:t xml:space="preserve"> </w:t>
      </w:r>
      <w:r w:rsidR="009B3377">
        <w:rPr>
          <w:rFonts w:cstheme="minorHAnsi"/>
          <w:sz w:val="26"/>
          <w:szCs w:val="26"/>
        </w:rPr>
        <w:t xml:space="preserve">periodic inspections or if inspections are conducted </w:t>
      </w:r>
      <w:r w:rsidR="0002485D" w:rsidRPr="00F901B7">
        <w:rPr>
          <w:rFonts w:cstheme="minorHAnsi"/>
          <w:sz w:val="26"/>
          <w:szCs w:val="26"/>
        </w:rPr>
        <w:t>annual</w:t>
      </w:r>
      <w:r w:rsidR="009B3377">
        <w:rPr>
          <w:rFonts w:cstheme="minorHAnsi"/>
          <w:sz w:val="26"/>
          <w:szCs w:val="26"/>
        </w:rPr>
        <w:t>ly</w:t>
      </w:r>
      <w:r w:rsidR="0002485D" w:rsidRPr="00F901B7">
        <w:rPr>
          <w:rFonts w:cstheme="minorHAnsi"/>
          <w:sz w:val="26"/>
          <w:szCs w:val="26"/>
        </w:rPr>
        <w:t xml:space="preserve">).  The DEM model nonconversion agreement has optional language to specify inspections.  Some CRS credits are provided for requiring nonconversion agreements even if the agreement does not include a statement regarding inspections. </w:t>
      </w:r>
    </w:p>
    <w:p w14:paraId="63B2ECE3" w14:textId="77777777" w:rsidR="0002485D" w:rsidRPr="00F901B7" w:rsidRDefault="0002485D" w:rsidP="0002485D">
      <w:pPr>
        <w:rPr>
          <w:rFonts w:cstheme="minorHAnsi"/>
          <w:b/>
          <w:sz w:val="26"/>
          <w:szCs w:val="26"/>
          <w:u w:val="single"/>
        </w:rPr>
      </w:pPr>
    </w:p>
    <w:p w14:paraId="6236B1D4" w14:textId="171B6458" w:rsidR="0002485D" w:rsidRPr="00F901B7" w:rsidRDefault="0002485D" w:rsidP="0002485D">
      <w:pPr>
        <w:rPr>
          <w:rFonts w:cstheme="minorHAnsi"/>
          <w:sz w:val="26"/>
          <w:szCs w:val="26"/>
        </w:rPr>
      </w:pPr>
      <w:r w:rsidRPr="00F901B7">
        <w:rPr>
          <w:rFonts w:cstheme="minorHAnsi"/>
          <w:b/>
          <w:sz w:val="26"/>
          <w:szCs w:val="26"/>
          <w:u w:val="single"/>
        </w:rPr>
        <w:t>How the FBC, Residential addresses enclosures:</w:t>
      </w:r>
      <w:r w:rsidRPr="00F901B7">
        <w:rPr>
          <w:rFonts w:cstheme="minorHAnsi"/>
          <w:sz w:val="26"/>
          <w:szCs w:val="26"/>
        </w:rPr>
        <w:t xml:space="preserve">  The FBC, Residential includes the basic, NFIP-consistent requirements for enclosed areas and walls below elevated dwellings.  Requirements for all flood zones are in R322.1, requirements for Zone A are in R322.2, and requirements for Zone V are in R322.3.</w:t>
      </w:r>
      <w:r w:rsidR="003A6B0B" w:rsidRPr="00F901B7">
        <w:rPr>
          <w:rFonts w:cstheme="minorHAnsi"/>
          <w:sz w:val="26"/>
          <w:szCs w:val="26"/>
        </w:rPr>
        <w:t xml:space="preserve">  </w:t>
      </w:r>
      <w:r w:rsidR="009B3377">
        <w:rPr>
          <w:rFonts w:cstheme="minorHAnsi"/>
          <w:sz w:val="26"/>
          <w:szCs w:val="26"/>
        </w:rPr>
        <w:t>If the FIRM shows a Limit of Moderate Wave Action (LiMWA) or a community designates a Coastal A Zone (CAZ), t</w:t>
      </w:r>
      <w:r w:rsidR="003A6B0B" w:rsidRPr="00F901B7">
        <w:rPr>
          <w:rFonts w:cstheme="minorHAnsi"/>
          <w:sz w:val="26"/>
          <w:szCs w:val="26"/>
        </w:rPr>
        <w:t>he 6</w:t>
      </w:r>
      <w:r w:rsidR="003A6B0B" w:rsidRPr="00F901B7">
        <w:rPr>
          <w:rFonts w:cstheme="minorHAnsi"/>
          <w:sz w:val="26"/>
          <w:szCs w:val="26"/>
          <w:vertAlign w:val="superscript"/>
        </w:rPr>
        <w:t>th</w:t>
      </w:r>
      <w:r w:rsidR="003A6B0B" w:rsidRPr="00F901B7">
        <w:rPr>
          <w:rFonts w:cstheme="minorHAnsi"/>
          <w:sz w:val="26"/>
          <w:szCs w:val="26"/>
        </w:rPr>
        <w:t xml:space="preserve"> Edition FBC, R treat</w:t>
      </w:r>
      <w:r w:rsidR="00EB5901">
        <w:rPr>
          <w:rFonts w:cstheme="minorHAnsi"/>
          <w:sz w:val="26"/>
          <w:szCs w:val="26"/>
        </w:rPr>
        <w:t>s</w:t>
      </w:r>
      <w:r w:rsidR="003A6B0B" w:rsidRPr="00F901B7">
        <w:rPr>
          <w:rFonts w:cstheme="minorHAnsi"/>
          <w:sz w:val="26"/>
          <w:szCs w:val="26"/>
        </w:rPr>
        <w:t xml:space="preserve"> C</w:t>
      </w:r>
      <w:r w:rsidR="00EB5901">
        <w:rPr>
          <w:rFonts w:cstheme="minorHAnsi"/>
          <w:sz w:val="26"/>
          <w:szCs w:val="26"/>
        </w:rPr>
        <w:t>oastal A Zone</w:t>
      </w:r>
      <w:r w:rsidR="003A6B0B" w:rsidRPr="00F901B7">
        <w:rPr>
          <w:rFonts w:cstheme="minorHAnsi"/>
          <w:sz w:val="26"/>
          <w:szCs w:val="26"/>
        </w:rPr>
        <w:t xml:space="preserve"> like Zone V</w:t>
      </w:r>
      <w:r w:rsidR="009B3377">
        <w:rPr>
          <w:rFonts w:cstheme="minorHAnsi"/>
          <w:sz w:val="26"/>
          <w:szCs w:val="26"/>
        </w:rPr>
        <w:t>, with an exception permitting backfilled stemwalls if designed for wave loads and scour</w:t>
      </w:r>
      <w:r w:rsidR="003A6B0B" w:rsidRPr="00F901B7">
        <w:rPr>
          <w:rFonts w:cstheme="minorHAnsi"/>
          <w:sz w:val="26"/>
          <w:szCs w:val="26"/>
        </w:rPr>
        <w:t>.</w:t>
      </w:r>
    </w:p>
    <w:p w14:paraId="26F425B4" w14:textId="77777777" w:rsidR="003A6B0B" w:rsidRPr="00F901B7" w:rsidRDefault="003A6B0B" w:rsidP="003A6B0B">
      <w:pPr>
        <w:rPr>
          <w:b/>
          <w:sz w:val="26"/>
          <w:szCs w:val="26"/>
        </w:rPr>
      </w:pPr>
    </w:p>
    <w:p w14:paraId="7F5720DC" w14:textId="4C949A26" w:rsidR="003A6B0B" w:rsidRPr="00F901B7" w:rsidRDefault="003A6B0B" w:rsidP="003A6B0B">
      <w:pPr>
        <w:rPr>
          <w:rFonts w:cstheme="minorHAnsi"/>
          <w:sz w:val="26"/>
          <w:szCs w:val="26"/>
        </w:rPr>
      </w:pPr>
      <w:r w:rsidRPr="00F901B7">
        <w:rPr>
          <w:rFonts w:cstheme="minorHAnsi"/>
          <w:b/>
          <w:sz w:val="26"/>
          <w:szCs w:val="26"/>
          <w:u w:val="single"/>
        </w:rPr>
        <w:t>How the FBC, Building addresses enclosures by reference to ASCE 24:</w:t>
      </w:r>
      <w:r w:rsidRPr="00F901B7">
        <w:rPr>
          <w:rFonts w:cstheme="minorHAnsi"/>
          <w:sz w:val="26"/>
          <w:szCs w:val="26"/>
        </w:rPr>
        <w:t xml:space="preserve">  The FBC, Building, by reference to ASCE 24, includes the basic, NFIP-consistent requirements for enclosed areas and walls below elevated buildings.  Requirements for enclosures under buildings in Zone A are in ASCE 24 Section 2.6 and requirements for Zone V and CAZ are in ASCE 24 Section 4.6.</w:t>
      </w:r>
    </w:p>
    <w:p w14:paraId="67510B66" w14:textId="77777777" w:rsidR="0002485D" w:rsidRPr="00F901B7" w:rsidRDefault="0002485D" w:rsidP="0002485D">
      <w:pPr>
        <w:ind w:right="432"/>
        <w:rPr>
          <w:rFonts w:cstheme="minorHAnsi"/>
          <w:sz w:val="26"/>
          <w:szCs w:val="26"/>
        </w:rPr>
      </w:pPr>
    </w:p>
    <w:p w14:paraId="2B2F2BC9" w14:textId="77777777" w:rsidR="0002485D" w:rsidRPr="00F901B7" w:rsidRDefault="0002485D" w:rsidP="0002485D">
      <w:pPr>
        <w:ind w:right="432"/>
        <w:rPr>
          <w:rFonts w:cstheme="minorHAnsi"/>
          <w:b/>
          <w:sz w:val="26"/>
          <w:szCs w:val="26"/>
        </w:rPr>
      </w:pPr>
      <w:r w:rsidRPr="00F901B7">
        <w:rPr>
          <w:rFonts w:cstheme="minorHAnsi"/>
          <w:b/>
          <w:sz w:val="26"/>
          <w:szCs w:val="26"/>
        </w:rPr>
        <w:t>INSTRUCTIONS.</w:t>
      </w:r>
    </w:p>
    <w:p w14:paraId="530EA61D" w14:textId="77777777" w:rsidR="000C46E4" w:rsidRPr="00F901B7" w:rsidRDefault="000C46E4" w:rsidP="000C46E4">
      <w:pPr>
        <w:rPr>
          <w:rFonts w:cstheme="minorHAnsi"/>
          <w:b/>
          <w:i/>
          <w:sz w:val="26"/>
          <w:szCs w:val="26"/>
        </w:rPr>
      </w:pPr>
      <w:r w:rsidRPr="00F901B7">
        <w:rPr>
          <w:rFonts w:cstheme="minorHAnsi"/>
          <w:b/>
          <w:i/>
          <w:sz w:val="26"/>
          <w:szCs w:val="26"/>
        </w:rPr>
        <w:t>Submit your draft ordinance (in &lt;</w:t>
      </w:r>
      <w:r w:rsidRPr="00F901B7">
        <w:rPr>
          <w:rFonts w:cstheme="minorHAnsi"/>
          <w:b/>
          <w:i/>
          <w:color w:val="FF0000"/>
          <w:sz w:val="26"/>
          <w:szCs w:val="26"/>
        </w:rPr>
        <w:t>track changes</w:t>
      </w:r>
      <w:r w:rsidRPr="00F901B7">
        <w:rPr>
          <w:rFonts w:cstheme="minorHAnsi"/>
          <w:b/>
          <w:i/>
          <w:sz w:val="26"/>
          <w:szCs w:val="26"/>
        </w:rPr>
        <w:t xml:space="preserve">&gt;) to Technical Support flood.ordinance@em.myflorida.com for review well in advance of your first reading.  </w:t>
      </w:r>
    </w:p>
    <w:p w14:paraId="74079234" w14:textId="77777777" w:rsidR="000C46E4" w:rsidRPr="00F901B7" w:rsidRDefault="000C46E4" w:rsidP="0002485D">
      <w:pPr>
        <w:rPr>
          <w:rFonts w:cstheme="minorHAnsi"/>
          <w:i/>
          <w:sz w:val="26"/>
          <w:szCs w:val="26"/>
        </w:rPr>
      </w:pPr>
    </w:p>
    <w:p w14:paraId="4BAF8ECB" w14:textId="77777777" w:rsidR="0002485D" w:rsidRPr="00F901B7" w:rsidRDefault="0002485D" w:rsidP="0002485D">
      <w:pPr>
        <w:rPr>
          <w:rFonts w:cstheme="minorHAnsi"/>
          <w:i/>
          <w:sz w:val="26"/>
          <w:szCs w:val="26"/>
        </w:rPr>
      </w:pPr>
      <w:r w:rsidRPr="00F901B7">
        <w:rPr>
          <w:rFonts w:cstheme="minorHAnsi"/>
          <w:i/>
          <w:sz w:val="26"/>
          <w:szCs w:val="26"/>
        </w:rPr>
        <w:t>If your intent is to apply the requirement ONLY to dwellings, then where you see {select one: buildings / dwelling}, pick “dwellings” and then show only the code amendment(s) for the FBC, Residential.</w:t>
      </w:r>
    </w:p>
    <w:p w14:paraId="2905D43E" w14:textId="77777777" w:rsidR="0002485D" w:rsidRPr="00F901B7" w:rsidRDefault="0002485D" w:rsidP="0002485D">
      <w:pPr>
        <w:rPr>
          <w:rFonts w:cstheme="minorHAnsi"/>
          <w:b/>
          <w:i/>
          <w:sz w:val="26"/>
          <w:szCs w:val="26"/>
        </w:rPr>
      </w:pPr>
    </w:p>
    <w:p w14:paraId="784301A8" w14:textId="3B355C5E" w:rsidR="0002485D" w:rsidRPr="00F901B7" w:rsidRDefault="0002485D" w:rsidP="0002485D">
      <w:pPr>
        <w:rPr>
          <w:rFonts w:cstheme="minorHAnsi"/>
          <w:sz w:val="26"/>
          <w:szCs w:val="26"/>
        </w:rPr>
      </w:pPr>
      <w:r w:rsidRPr="00F901B7">
        <w:rPr>
          <w:rFonts w:cstheme="minorHAnsi"/>
          <w:b/>
          <w:sz w:val="26"/>
          <w:szCs w:val="26"/>
          <w:u w:val="single"/>
        </w:rPr>
        <w:t xml:space="preserve">Use </w:t>
      </w:r>
      <w:r w:rsidR="00CD4A36" w:rsidRPr="00F901B7">
        <w:rPr>
          <w:rFonts w:cstheme="minorHAnsi"/>
          <w:b/>
          <w:sz w:val="26"/>
          <w:szCs w:val="26"/>
          <w:u w:val="single"/>
        </w:rPr>
        <w:t>these changes</w:t>
      </w:r>
      <w:r w:rsidRPr="00F901B7">
        <w:rPr>
          <w:rFonts w:cstheme="minorHAnsi"/>
          <w:b/>
          <w:sz w:val="26"/>
          <w:szCs w:val="26"/>
          <w:u w:val="single"/>
        </w:rPr>
        <w:t xml:space="preserve"> to require </w:t>
      </w:r>
      <w:r w:rsidR="003A6B0B" w:rsidRPr="00F901B7">
        <w:rPr>
          <w:rFonts w:cstheme="minorHAnsi"/>
          <w:b/>
          <w:sz w:val="26"/>
          <w:szCs w:val="26"/>
          <w:u w:val="single"/>
        </w:rPr>
        <w:t>D</w:t>
      </w:r>
      <w:r w:rsidRPr="00F901B7">
        <w:rPr>
          <w:rFonts w:cstheme="minorHAnsi"/>
          <w:b/>
          <w:sz w:val="26"/>
          <w:szCs w:val="26"/>
          <w:u w:val="single"/>
        </w:rPr>
        <w:t xml:space="preserve">eclarations of </w:t>
      </w:r>
      <w:r w:rsidR="003A6B0B" w:rsidRPr="00F901B7">
        <w:rPr>
          <w:rFonts w:cstheme="minorHAnsi"/>
          <w:b/>
          <w:sz w:val="26"/>
          <w:szCs w:val="26"/>
          <w:u w:val="single"/>
        </w:rPr>
        <w:t>L</w:t>
      </w:r>
      <w:r w:rsidRPr="00F901B7">
        <w:rPr>
          <w:rFonts w:cstheme="minorHAnsi"/>
          <w:b/>
          <w:sz w:val="26"/>
          <w:szCs w:val="26"/>
          <w:u w:val="single"/>
        </w:rPr>
        <w:t xml:space="preserve">and </w:t>
      </w:r>
      <w:r w:rsidR="003A6B0B" w:rsidRPr="00F901B7">
        <w:rPr>
          <w:rFonts w:cstheme="minorHAnsi"/>
          <w:b/>
          <w:sz w:val="26"/>
          <w:szCs w:val="26"/>
          <w:u w:val="single"/>
        </w:rPr>
        <w:t>R</w:t>
      </w:r>
      <w:r w:rsidRPr="00F901B7">
        <w:rPr>
          <w:rFonts w:cstheme="minorHAnsi"/>
          <w:b/>
          <w:sz w:val="26"/>
          <w:szCs w:val="26"/>
          <w:u w:val="single"/>
        </w:rPr>
        <w:t>estriction (</w:t>
      </w:r>
      <w:r w:rsidR="003A6B0B" w:rsidRPr="00F901B7">
        <w:rPr>
          <w:rFonts w:cstheme="minorHAnsi"/>
          <w:b/>
          <w:sz w:val="26"/>
          <w:szCs w:val="26"/>
          <w:u w:val="single"/>
        </w:rPr>
        <w:t>N</w:t>
      </w:r>
      <w:r w:rsidRPr="00F901B7">
        <w:rPr>
          <w:rFonts w:cstheme="minorHAnsi"/>
          <w:b/>
          <w:sz w:val="26"/>
          <w:szCs w:val="26"/>
          <w:u w:val="single"/>
        </w:rPr>
        <w:t xml:space="preserve">onconversion </w:t>
      </w:r>
      <w:r w:rsidR="003A6B0B" w:rsidRPr="00F901B7">
        <w:rPr>
          <w:rFonts w:cstheme="minorHAnsi"/>
          <w:b/>
          <w:sz w:val="26"/>
          <w:szCs w:val="26"/>
          <w:u w:val="single"/>
        </w:rPr>
        <w:t>A</w:t>
      </w:r>
      <w:r w:rsidRPr="00F901B7">
        <w:rPr>
          <w:rFonts w:cstheme="minorHAnsi"/>
          <w:b/>
          <w:sz w:val="26"/>
          <w:szCs w:val="26"/>
          <w:u w:val="single"/>
        </w:rPr>
        <w:t>greements) for enclosures below elevated buildings/dwellings.</w:t>
      </w:r>
      <w:r w:rsidRPr="00F901B7">
        <w:rPr>
          <w:rFonts w:cstheme="minorHAnsi"/>
          <w:b/>
          <w:sz w:val="26"/>
          <w:szCs w:val="26"/>
        </w:rPr>
        <w:t xml:space="preserve">  This is drafted to apply to all buildings/dwellings in flood hazard areas that have enclosures.  </w:t>
      </w:r>
      <w:r w:rsidRPr="00F901B7">
        <w:rPr>
          <w:rFonts w:cstheme="minorHAnsi"/>
          <w:sz w:val="26"/>
          <w:szCs w:val="26"/>
        </w:rPr>
        <w:t>Variations might include requiring the agreement only for enclosures that are more than a specific height, or not requiring it for crawlspace foundations.</w:t>
      </w:r>
    </w:p>
    <w:p w14:paraId="3DA37BFF" w14:textId="77777777" w:rsidR="0002485D" w:rsidRPr="00F901B7" w:rsidRDefault="0002485D" w:rsidP="0002485D">
      <w:pPr>
        <w:rPr>
          <w:rFonts w:cstheme="minorHAnsi"/>
          <w:sz w:val="26"/>
          <w:szCs w:val="26"/>
          <w:u w:val="single"/>
        </w:rPr>
      </w:pPr>
    </w:p>
    <w:p w14:paraId="2A70816A" w14:textId="77777777" w:rsidR="003561E6" w:rsidRDefault="003561E6">
      <w:pPr>
        <w:rPr>
          <w:rFonts w:cstheme="minorHAnsi"/>
          <w:b/>
          <w:i/>
          <w:sz w:val="26"/>
          <w:szCs w:val="26"/>
        </w:rPr>
      </w:pPr>
      <w:r>
        <w:rPr>
          <w:rFonts w:cstheme="minorHAnsi"/>
          <w:b/>
          <w:i/>
          <w:sz w:val="26"/>
          <w:szCs w:val="26"/>
        </w:rPr>
        <w:br w:type="page"/>
      </w:r>
    </w:p>
    <w:p w14:paraId="43D8CA1E" w14:textId="29BF496C" w:rsidR="0002485D" w:rsidRPr="00F901B7" w:rsidRDefault="0002485D" w:rsidP="0002485D">
      <w:pPr>
        <w:rPr>
          <w:rFonts w:cstheme="minorHAnsi"/>
          <w:i/>
          <w:sz w:val="26"/>
          <w:szCs w:val="26"/>
        </w:rPr>
      </w:pPr>
      <w:r w:rsidRPr="00F901B7">
        <w:rPr>
          <w:rFonts w:cstheme="minorHAnsi"/>
          <w:b/>
          <w:i/>
          <w:sz w:val="26"/>
          <w:szCs w:val="26"/>
        </w:rPr>
        <w:lastRenderedPageBreak/>
        <w:t>Step 1.</w:t>
      </w:r>
      <w:r w:rsidRPr="00F901B7">
        <w:rPr>
          <w:rFonts w:cstheme="minorHAnsi"/>
          <w:i/>
          <w:sz w:val="26"/>
          <w:szCs w:val="26"/>
        </w:rPr>
        <w:t xml:space="preserve">  See the General Instructions to select the appropriate Whereas clause(s).  Insert the following brief description of the higher standard: </w:t>
      </w:r>
    </w:p>
    <w:p w14:paraId="6180D5C4" w14:textId="77777777" w:rsidR="000C46E4" w:rsidRPr="00101AEF" w:rsidRDefault="000C46E4" w:rsidP="0002485D">
      <w:pPr>
        <w:rPr>
          <w:rFonts w:cstheme="minorHAnsi"/>
          <w:i/>
          <w:sz w:val="28"/>
          <w:szCs w:val="28"/>
        </w:rPr>
      </w:pPr>
    </w:p>
    <w:tbl>
      <w:tblPr>
        <w:tblStyle w:val="TableGrid"/>
        <w:tblW w:w="0" w:type="auto"/>
        <w:tblInd w:w="738" w:type="dxa"/>
        <w:tblLook w:val="04A0" w:firstRow="1" w:lastRow="0" w:firstColumn="1" w:lastColumn="0" w:noHBand="0" w:noVBand="1"/>
      </w:tblPr>
      <w:tblGrid>
        <w:gridCol w:w="8370"/>
      </w:tblGrid>
      <w:tr w:rsidR="0002485D" w14:paraId="0974B224" w14:textId="77777777" w:rsidTr="00B3250F">
        <w:tc>
          <w:tcPr>
            <w:tcW w:w="8370" w:type="dxa"/>
          </w:tcPr>
          <w:p w14:paraId="6ECEAAA0" w14:textId="0AD5B4A7" w:rsidR="0002485D" w:rsidRPr="00F901B7" w:rsidRDefault="0002485D" w:rsidP="000C46E4">
            <w:pPr>
              <w:autoSpaceDE w:val="0"/>
              <w:autoSpaceDN w:val="0"/>
              <w:adjustRightInd w:val="0"/>
              <w:rPr>
                <w:rFonts w:ascii="Arial" w:eastAsia="Calibri" w:hAnsi="Arial" w:cs="Arial"/>
                <w:i/>
                <w:u w:val="single"/>
              </w:rPr>
            </w:pPr>
            <w:r w:rsidRPr="00F901B7">
              <w:rPr>
                <w:rFonts w:ascii="Arial" w:eastAsia="Calibri" w:hAnsi="Arial" w:cs="Arial"/>
                <w:u w:val="single"/>
              </w:rPr>
              <w:t xml:space="preserve">require declarations of land restriction (nonconversion agreements) for enclosures below elevated </w:t>
            </w:r>
            <w:r w:rsidRPr="00F901B7">
              <w:rPr>
                <w:rFonts w:ascii="Arial" w:eastAsia="Calibri" w:hAnsi="Arial" w:cs="Arial"/>
                <w:b/>
                <w:u w:val="single"/>
              </w:rPr>
              <w:t>{select one: buildings / dwellings}</w:t>
            </w:r>
            <w:r w:rsidRPr="00F901B7">
              <w:rPr>
                <w:rFonts w:ascii="Arial" w:eastAsia="Calibri" w:hAnsi="Arial" w:cs="Arial"/>
                <w:u w:val="single"/>
              </w:rPr>
              <w:t xml:space="preserve">  </w:t>
            </w:r>
          </w:p>
        </w:tc>
      </w:tr>
    </w:tbl>
    <w:p w14:paraId="5CE2C5D9" w14:textId="77777777" w:rsidR="0002485D" w:rsidRPr="00F901B7" w:rsidRDefault="0002485D" w:rsidP="0002485D">
      <w:pPr>
        <w:autoSpaceDE w:val="0"/>
        <w:autoSpaceDN w:val="0"/>
        <w:adjustRightInd w:val="0"/>
        <w:ind w:left="720"/>
        <w:rPr>
          <w:rFonts w:eastAsia="Calibri" w:cstheme="minorHAnsi"/>
          <w:sz w:val="26"/>
          <w:szCs w:val="26"/>
          <w:u w:val="single"/>
        </w:rPr>
      </w:pPr>
    </w:p>
    <w:p w14:paraId="02CD0D92" w14:textId="77777777" w:rsidR="0002485D" w:rsidRPr="00F901B7" w:rsidRDefault="0002485D" w:rsidP="0002485D">
      <w:pPr>
        <w:rPr>
          <w:rFonts w:cstheme="minorHAnsi"/>
          <w:i/>
          <w:sz w:val="26"/>
          <w:szCs w:val="26"/>
        </w:rPr>
      </w:pPr>
      <w:r w:rsidRPr="00F901B7">
        <w:rPr>
          <w:rFonts w:cstheme="minorHAnsi"/>
          <w:b/>
          <w:i/>
          <w:sz w:val="26"/>
          <w:szCs w:val="26"/>
        </w:rPr>
        <w:t>Step 2.</w:t>
      </w:r>
      <w:r w:rsidRPr="00F901B7">
        <w:rPr>
          <w:rFonts w:cstheme="minorHAnsi"/>
          <w:i/>
          <w:sz w:val="26"/>
          <w:szCs w:val="26"/>
        </w:rPr>
        <w:t xml:space="preserve">  Add the following definition to Sec. 202 of the Floodplain Management Ordinance:</w:t>
      </w:r>
    </w:p>
    <w:tbl>
      <w:tblPr>
        <w:tblStyle w:val="TableGrid"/>
        <w:tblW w:w="0" w:type="auto"/>
        <w:tblInd w:w="738" w:type="dxa"/>
        <w:tblLook w:val="04A0" w:firstRow="1" w:lastRow="0" w:firstColumn="1" w:lastColumn="0" w:noHBand="0" w:noVBand="1"/>
      </w:tblPr>
      <w:tblGrid>
        <w:gridCol w:w="8370"/>
      </w:tblGrid>
      <w:tr w:rsidR="0002485D" w14:paraId="62C1C14C" w14:textId="77777777" w:rsidTr="00B3250F">
        <w:tc>
          <w:tcPr>
            <w:tcW w:w="8370" w:type="dxa"/>
          </w:tcPr>
          <w:p w14:paraId="0F8E578F" w14:textId="77777777" w:rsidR="0002485D" w:rsidRPr="00F901B7" w:rsidRDefault="0002485D" w:rsidP="00B3250F">
            <w:pPr>
              <w:rPr>
                <w:rFonts w:ascii="Arial" w:hAnsi="Arial" w:cs="Arial"/>
                <w:i/>
              </w:rPr>
            </w:pPr>
            <w:r w:rsidRPr="00F901B7">
              <w:rPr>
                <w:rFonts w:ascii="Arial" w:eastAsia="Calibri" w:hAnsi="Arial" w:cs="Arial"/>
                <w:b/>
              </w:rPr>
              <w:t>Declaration of Land Restriction (Nonconversion Agreement)</w:t>
            </w:r>
            <w:r w:rsidRPr="00F901B7">
              <w:rPr>
                <w:rFonts w:ascii="Arial" w:hAnsi="Arial" w:cs="Arial"/>
                <w:b/>
              </w:rPr>
              <w:t>.</w:t>
            </w:r>
            <w:r w:rsidRPr="00F901B7">
              <w:rPr>
                <w:rFonts w:ascii="Arial" w:eastAsia="Calibri" w:hAnsi="Arial" w:cs="Arial"/>
              </w:rPr>
              <w:t xml:space="preserve">  A form provided by the Floodplain Administrator to be signed by the owner</w:t>
            </w:r>
            <w:r w:rsidRPr="00F901B7">
              <w:rPr>
                <w:rFonts w:ascii="Arial" w:hAnsi="Arial" w:cs="Arial"/>
              </w:rPr>
              <w:t xml:space="preserve"> and recorded on the property deed in Official Records of the Clerk of Courts,</w:t>
            </w:r>
            <w:r w:rsidRPr="00F901B7">
              <w:rPr>
                <w:rFonts w:ascii="Arial" w:eastAsia="Calibri" w:hAnsi="Arial" w:cs="Arial"/>
              </w:rPr>
              <w:t xml:space="preserve"> for the owner to agree not to convert or modify in any manner that is inconsistent with the terms of the </w:t>
            </w:r>
            <w:r w:rsidRPr="00F901B7">
              <w:rPr>
                <w:rFonts w:ascii="Arial" w:hAnsi="Arial" w:cs="Arial"/>
              </w:rPr>
              <w:t xml:space="preserve">building </w:t>
            </w:r>
            <w:r w:rsidRPr="00F901B7">
              <w:rPr>
                <w:rFonts w:ascii="Arial" w:eastAsia="Calibri" w:hAnsi="Arial" w:cs="Arial"/>
              </w:rPr>
              <w:t xml:space="preserve">permit and these regulations, </w:t>
            </w:r>
            <w:r w:rsidRPr="00F901B7">
              <w:rPr>
                <w:rFonts w:ascii="Arial" w:hAnsi="Arial" w:cs="Arial"/>
              </w:rPr>
              <w:t xml:space="preserve">enclosures below elevated </w:t>
            </w:r>
            <w:r w:rsidRPr="00F901B7">
              <w:rPr>
                <w:rFonts w:ascii="Arial" w:eastAsia="Calibri" w:hAnsi="Arial" w:cs="Arial"/>
                <w:b/>
                <w:u w:val="single"/>
              </w:rPr>
              <w:t>{select one: buildings / dwellings}</w:t>
            </w:r>
            <w:r w:rsidRPr="00F901B7">
              <w:rPr>
                <w:rFonts w:ascii="Arial" w:eastAsia="Calibri" w:hAnsi="Arial" w:cs="Arial"/>
              </w:rPr>
              <w:t xml:space="preserve">.  </w:t>
            </w:r>
          </w:p>
        </w:tc>
      </w:tr>
    </w:tbl>
    <w:p w14:paraId="3E2161DE" w14:textId="77777777" w:rsidR="0002485D" w:rsidRPr="00F901B7" w:rsidRDefault="0002485D" w:rsidP="0002485D">
      <w:pPr>
        <w:rPr>
          <w:rFonts w:cstheme="minorHAnsi"/>
          <w:sz w:val="26"/>
          <w:szCs w:val="26"/>
        </w:rPr>
      </w:pPr>
    </w:p>
    <w:p w14:paraId="21B452A6" w14:textId="09254C8E" w:rsidR="0002485D" w:rsidRDefault="0002485D" w:rsidP="0002485D">
      <w:pPr>
        <w:rPr>
          <w:rFonts w:cstheme="minorHAnsi"/>
          <w:i/>
          <w:sz w:val="26"/>
          <w:szCs w:val="26"/>
        </w:rPr>
      </w:pPr>
      <w:r w:rsidRPr="00F901B7">
        <w:rPr>
          <w:rFonts w:cstheme="minorHAnsi"/>
          <w:b/>
          <w:i/>
          <w:sz w:val="26"/>
          <w:szCs w:val="26"/>
        </w:rPr>
        <w:t xml:space="preserve">Step 3a. </w:t>
      </w:r>
      <w:r w:rsidRPr="00F901B7">
        <w:rPr>
          <w:rFonts w:cstheme="minorHAnsi"/>
          <w:i/>
          <w:sz w:val="26"/>
          <w:szCs w:val="26"/>
        </w:rPr>
        <w:t xml:space="preserve">Add a new item to </w:t>
      </w:r>
      <w:r w:rsidR="003A6B0B" w:rsidRPr="00F901B7">
        <w:rPr>
          <w:rFonts w:cstheme="minorHAnsi"/>
          <w:i/>
          <w:sz w:val="26"/>
          <w:szCs w:val="26"/>
        </w:rPr>
        <w:t xml:space="preserve">Model Ordinance </w:t>
      </w:r>
      <w:r w:rsidRPr="00F901B7">
        <w:rPr>
          <w:rFonts w:cstheme="minorHAnsi"/>
          <w:i/>
          <w:sz w:val="26"/>
          <w:szCs w:val="26"/>
        </w:rPr>
        <w:t>Section 104.</w:t>
      </w:r>
      <w:r w:rsidR="006B1F80" w:rsidRPr="00F901B7">
        <w:rPr>
          <w:rFonts w:cstheme="minorHAnsi"/>
          <w:i/>
          <w:sz w:val="26"/>
          <w:szCs w:val="26"/>
        </w:rPr>
        <w:t xml:space="preserve">4 </w:t>
      </w:r>
      <w:r w:rsidRPr="00F901B7">
        <w:rPr>
          <w:rFonts w:cstheme="minorHAnsi"/>
          <w:i/>
          <w:sz w:val="26"/>
          <w:szCs w:val="26"/>
        </w:rPr>
        <w:t>Application for a permit. [Note: some communities decide this is sufficient; others decide FBC, B Chapter 1, must be changed – see Step 3b.]</w:t>
      </w:r>
    </w:p>
    <w:p w14:paraId="56565AB3" w14:textId="77777777" w:rsidR="000615AE" w:rsidRPr="00F901B7" w:rsidRDefault="000615AE" w:rsidP="0002485D">
      <w:pPr>
        <w:rPr>
          <w:rFonts w:cstheme="minorHAnsi"/>
          <w:i/>
          <w:sz w:val="26"/>
          <w:szCs w:val="26"/>
        </w:rPr>
      </w:pPr>
    </w:p>
    <w:tbl>
      <w:tblPr>
        <w:tblStyle w:val="TableGrid"/>
        <w:tblW w:w="0" w:type="auto"/>
        <w:tblInd w:w="738" w:type="dxa"/>
        <w:tblLook w:val="04A0" w:firstRow="1" w:lastRow="0" w:firstColumn="1" w:lastColumn="0" w:noHBand="0" w:noVBand="1"/>
      </w:tblPr>
      <w:tblGrid>
        <w:gridCol w:w="8370"/>
      </w:tblGrid>
      <w:tr w:rsidR="0002485D" w14:paraId="2506B51E" w14:textId="77777777" w:rsidTr="00B3250F">
        <w:tc>
          <w:tcPr>
            <w:tcW w:w="8370" w:type="dxa"/>
          </w:tcPr>
          <w:p w14:paraId="66930757" w14:textId="77777777" w:rsidR="006B1F80" w:rsidRPr="00F901B7" w:rsidRDefault="006B1F80" w:rsidP="006B1F80">
            <w:pPr>
              <w:widowControl w:val="0"/>
              <w:spacing w:after="0"/>
              <w:contextualSpacing/>
              <w:rPr>
                <w:rFonts w:ascii="Arial" w:hAnsi="Arial" w:cs="Arial"/>
              </w:rPr>
            </w:pPr>
          </w:p>
          <w:p w14:paraId="1DD36B58" w14:textId="39CF62DA" w:rsidR="0002485D" w:rsidRPr="00F901B7" w:rsidRDefault="0002485D" w:rsidP="006B1F80">
            <w:pPr>
              <w:widowControl w:val="0"/>
              <w:spacing w:after="0"/>
              <w:contextualSpacing/>
              <w:rPr>
                <w:rFonts w:ascii="Arial" w:hAnsi="Arial" w:cs="Arial"/>
              </w:rPr>
            </w:pPr>
            <w:r w:rsidRPr="00F901B7">
              <w:rPr>
                <w:rFonts w:ascii="Arial" w:hAnsi="Arial" w:cs="Arial"/>
              </w:rPr>
              <w:t xml:space="preserve">(8) For projects proposing to enclose areas under elevated buildings, </w:t>
            </w:r>
            <w:r w:rsidR="00F901B7" w:rsidRPr="00F901B7">
              <w:rPr>
                <w:rFonts w:ascii="Arial" w:hAnsi="Arial" w:cs="Arial"/>
              </w:rPr>
              <w:t>include</w:t>
            </w:r>
            <w:r w:rsidRPr="00F901B7">
              <w:rPr>
                <w:rFonts w:ascii="Arial" w:hAnsi="Arial" w:cs="Arial"/>
              </w:rPr>
              <w:t xml:space="preserve"> signed Declaration of Land Restriction (Nonconversion Agreement); the agreement shall be recorded on the property deed prior to issuance of the Certificate of Occupancy.</w:t>
            </w:r>
          </w:p>
          <w:p w14:paraId="52C9DBEB" w14:textId="77777777" w:rsidR="0002485D" w:rsidRPr="00F901B7" w:rsidRDefault="0002485D" w:rsidP="00B3250F">
            <w:pPr>
              <w:widowControl w:val="0"/>
              <w:spacing w:after="0"/>
              <w:contextualSpacing/>
              <w:rPr>
                <w:rFonts w:ascii="Arial" w:hAnsi="Arial" w:cs="Arial"/>
              </w:rPr>
            </w:pPr>
          </w:p>
        </w:tc>
      </w:tr>
    </w:tbl>
    <w:p w14:paraId="0D5F0536" w14:textId="77777777" w:rsidR="0002485D" w:rsidRPr="00F901B7" w:rsidRDefault="0002485D" w:rsidP="0002485D">
      <w:pPr>
        <w:rPr>
          <w:rFonts w:cstheme="minorHAnsi"/>
          <w:i/>
          <w:sz w:val="26"/>
          <w:szCs w:val="26"/>
        </w:rPr>
      </w:pPr>
    </w:p>
    <w:p w14:paraId="11579CC5" w14:textId="6F2D5A0A" w:rsidR="0002485D" w:rsidRPr="00F901B7" w:rsidRDefault="0002485D" w:rsidP="0002485D">
      <w:pPr>
        <w:rPr>
          <w:rFonts w:cstheme="minorHAnsi"/>
          <w:i/>
          <w:sz w:val="26"/>
          <w:szCs w:val="26"/>
        </w:rPr>
      </w:pPr>
      <w:r w:rsidRPr="00F901B7">
        <w:rPr>
          <w:rFonts w:cstheme="minorHAnsi"/>
          <w:b/>
          <w:i/>
          <w:sz w:val="26"/>
          <w:szCs w:val="26"/>
        </w:rPr>
        <w:t>Step 3b.</w:t>
      </w:r>
      <w:r w:rsidRPr="00F901B7">
        <w:rPr>
          <w:rFonts w:cstheme="minorHAnsi"/>
          <w:i/>
          <w:sz w:val="26"/>
          <w:szCs w:val="26"/>
        </w:rPr>
        <w:t xml:space="preserve">  Add a new SECTION 3 to the ordinance for local administrative amendments to the FBC. Note that requiring nonconversion agreements adds to items required to be submitted with permit applications which are reviewed by building officials.  If the</w:t>
      </w:r>
      <w:r w:rsidRPr="00F901B7" w:rsidDel="004E1B6C">
        <w:rPr>
          <w:rFonts w:cstheme="minorHAnsi"/>
          <w:i/>
          <w:sz w:val="26"/>
          <w:szCs w:val="26"/>
        </w:rPr>
        <w:t xml:space="preserve"> </w:t>
      </w:r>
      <w:r w:rsidRPr="00F901B7">
        <w:rPr>
          <w:rFonts w:cstheme="minorHAnsi"/>
          <w:i/>
          <w:sz w:val="26"/>
          <w:szCs w:val="26"/>
        </w:rPr>
        <w:t xml:space="preserve">intent is to require nonconversion agreements only for dwellings, do not include the change to the list of plan review criteria for commercial buildings.  </w:t>
      </w:r>
      <w:r w:rsidR="00CD4A36" w:rsidRPr="00F901B7">
        <w:rPr>
          <w:rFonts w:cstheme="minorHAnsi"/>
          <w:i/>
          <w:sz w:val="26"/>
          <w:szCs w:val="26"/>
        </w:rPr>
        <w:t>Maintain strikethrough and underlining to denote changes to the FBC.</w:t>
      </w:r>
    </w:p>
    <w:p w14:paraId="6925F539" w14:textId="77777777" w:rsidR="0002485D" w:rsidRPr="00101AEF" w:rsidRDefault="0002485D" w:rsidP="0002485D">
      <w:pPr>
        <w:rPr>
          <w:rFonts w:cstheme="minorHAnsi"/>
          <w:i/>
          <w:sz w:val="28"/>
          <w:szCs w:val="28"/>
        </w:rPr>
      </w:pPr>
    </w:p>
    <w:tbl>
      <w:tblPr>
        <w:tblStyle w:val="TableGrid"/>
        <w:tblW w:w="0" w:type="auto"/>
        <w:tblInd w:w="738" w:type="dxa"/>
        <w:tblLook w:val="04A0" w:firstRow="1" w:lastRow="0" w:firstColumn="1" w:lastColumn="0" w:noHBand="0" w:noVBand="1"/>
      </w:tblPr>
      <w:tblGrid>
        <w:gridCol w:w="8370"/>
      </w:tblGrid>
      <w:tr w:rsidR="0002485D" w14:paraId="582C4A17" w14:textId="77777777" w:rsidTr="00B3250F">
        <w:tc>
          <w:tcPr>
            <w:tcW w:w="8370" w:type="dxa"/>
          </w:tcPr>
          <w:p w14:paraId="703D8CBB" w14:textId="74E7E9DC" w:rsidR="0002485D" w:rsidRPr="00F901B7" w:rsidRDefault="0002485D" w:rsidP="00B3250F">
            <w:pPr>
              <w:rPr>
                <w:rFonts w:ascii="Arial" w:hAnsi="Arial" w:cs="Arial"/>
                <w:b/>
                <w:i/>
              </w:rPr>
            </w:pPr>
            <w:r w:rsidRPr="00F901B7">
              <w:rPr>
                <w:rFonts w:ascii="Arial" w:hAnsi="Arial" w:cs="Arial"/>
                <w:b/>
              </w:rPr>
              <w:t xml:space="preserve">SECTION 3.  </w:t>
            </w:r>
            <w:r w:rsidR="00EB5901">
              <w:rPr>
                <w:rFonts w:ascii="Arial" w:hAnsi="Arial" w:cs="Arial"/>
                <w:b/>
              </w:rPr>
              <w:t xml:space="preserve">{Insert citation for current chapter Buildings; insert appropriate section number) is hereby amended by the following technical amendments to the </w:t>
            </w:r>
            <w:r w:rsidR="00EB5901" w:rsidRPr="002921A2">
              <w:rPr>
                <w:rFonts w:ascii="Arial" w:hAnsi="Arial" w:cs="Arial"/>
                <w:b/>
                <w:i/>
              </w:rPr>
              <w:t xml:space="preserve">Florida Building Code, </w:t>
            </w:r>
            <w:r w:rsidR="00EB5901">
              <w:rPr>
                <w:rFonts w:ascii="Arial" w:hAnsi="Arial" w:cs="Arial"/>
                <w:b/>
                <w:i/>
              </w:rPr>
              <w:t>Building.</w:t>
            </w:r>
            <w:r w:rsidR="00EB5901">
              <w:rPr>
                <w:rFonts w:ascii="Arial" w:hAnsi="Arial" w:cs="Arial"/>
                <w:b/>
              </w:rPr>
              <w:t xml:space="preserve"> </w:t>
            </w:r>
            <w:r w:rsidRPr="00F901B7">
              <w:rPr>
                <w:rFonts w:ascii="Arial" w:hAnsi="Arial" w:cs="Arial"/>
                <w:b/>
              </w:rPr>
              <w:t xml:space="preserve"> </w:t>
            </w:r>
          </w:p>
          <w:p w14:paraId="044CD9E6" w14:textId="77777777" w:rsidR="0002485D" w:rsidRPr="00F901B7" w:rsidRDefault="0002485D" w:rsidP="00B3250F">
            <w:pPr>
              <w:pStyle w:val="BodyText"/>
              <w:spacing w:after="0"/>
              <w:rPr>
                <w:rFonts w:ascii="Arial" w:hAnsi="Arial" w:cs="Arial"/>
                <w:b/>
                <w:sz w:val="22"/>
                <w:szCs w:val="22"/>
              </w:rPr>
            </w:pPr>
            <w:r w:rsidRPr="00F901B7">
              <w:rPr>
                <w:rFonts w:ascii="Arial" w:hAnsi="Arial" w:cs="Arial"/>
                <w:sz w:val="22"/>
                <w:szCs w:val="22"/>
              </w:rPr>
              <w:t>Modify Sec. 107.3.5 as follows:</w:t>
            </w:r>
          </w:p>
          <w:p w14:paraId="134FF8B1" w14:textId="77777777" w:rsidR="0002485D" w:rsidRPr="00F901B7" w:rsidRDefault="0002485D" w:rsidP="00B3250F">
            <w:pPr>
              <w:pStyle w:val="BodyText"/>
              <w:spacing w:after="0"/>
              <w:rPr>
                <w:rFonts w:ascii="Arial" w:hAnsi="Arial" w:cs="Arial"/>
                <w:b/>
                <w:sz w:val="22"/>
                <w:szCs w:val="22"/>
              </w:rPr>
            </w:pPr>
          </w:p>
          <w:p w14:paraId="7E045140" w14:textId="77777777" w:rsidR="0002485D" w:rsidRPr="00F901B7" w:rsidRDefault="0002485D" w:rsidP="00B3250F">
            <w:pPr>
              <w:pStyle w:val="BodyText"/>
              <w:spacing w:after="0"/>
              <w:rPr>
                <w:rFonts w:ascii="Arial" w:hAnsi="Arial" w:cs="Arial"/>
                <w:b/>
                <w:sz w:val="22"/>
                <w:szCs w:val="22"/>
              </w:rPr>
            </w:pPr>
            <w:r w:rsidRPr="00F901B7">
              <w:rPr>
                <w:rFonts w:ascii="Arial" w:hAnsi="Arial" w:cs="Arial"/>
                <w:b/>
                <w:sz w:val="22"/>
                <w:szCs w:val="22"/>
              </w:rPr>
              <w:t>107.3.5 Minimum plan review criteria for buildings.</w:t>
            </w:r>
          </w:p>
          <w:p w14:paraId="06ADF1E0" w14:textId="77777777" w:rsidR="0002485D" w:rsidRPr="00F901B7" w:rsidRDefault="0002485D" w:rsidP="00B3250F">
            <w:pPr>
              <w:pStyle w:val="BodyText"/>
              <w:spacing w:after="0"/>
              <w:ind w:left="720"/>
              <w:rPr>
                <w:rFonts w:ascii="Arial" w:hAnsi="Arial" w:cs="Arial"/>
                <w:b/>
                <w:sz w:val="22"/>
                <w:szCs w:val="22"/>
              </w:rPr>
            </w:pPr>
            <w:r w:rsidRPr="00F901B7">
              <w:rPr>
                <w:rFonts w:ascii="Arial" w:hAnsi="Arial" w:cs="Arial"/>
                <w:b/>
                <w:sz w:val="22"/>
                <w:szCs w:val="22"/>
              </w:rPr>
              <w:t>Commercial Buildings:  Building</w:t>
            </w:r>
          </w:p>
          <w:p w14:paraId="5A24C7F5" w14:textId="77777777" w:rsidR="0002485D" w:rsidRPr="00F901B7" w:rsidRDefault="0002485D" w:rsidP="00B3250F">
            <w:pPr>
              <w:pStyle w:val="BodyText"/>
              <w:spacing w:after="0"/>
              <w:ind w:left="720"/>
              <w:rPr>
                <w:rFonts w:ascii="Arial" w:hAnsi="Arial" w:cs="Arial"/>
                <w:sz w:val="22"/>
                <w:szCs w:val="22"/>
              </w:rPr>
            </w:pPr>
            <w:r w:rsidRPr="00F901B7">
              <w:rPr>
                <w:rFonts w:ascii="Arial" w:hAnsi="Arial" w:cs="Arial"/>
                <w:sz w:val="22"/>
                <w:szCs w:val="22"/>
              </w:rPr>
              <w:t>8. Structural requirements shall include:</w:t>
            </w:r>
          </w:p>
          <w:p w14:paraId="5017FAF0" w14:textId="77777777" w:rsidR="0002485D" w:rsidRPr="00F901B7" w:rsidRDefault="0002485D" w:rsidP="00B3250F">
            <w:pPr>
              <w:pStyle w:val="BodyText"/>
              <w:spacing w:after="0"/>
              <w:ind w:left="1440"/>
              <w:rPr>
                <w:rFonts w:ascii="Arial" w:hAnsi="Arial" w:cs="Arial"/>
                <w:sz w:val="22"/>
                <w:szCs w:val="22"/>
              </w:rPr>
            </w:pPr>
            <w:r w:rsidRPr="00F901B7">
              <w:rPr>
                <w:rFonts w:ascii="Arial" w:hAnsi="Arial" w:cs="Arial"/>
                <w:sz w:val="22"/>
                <w:szCs w:val="22"/>
              </w:rPr>
              <w:t xml:space="preserve">Flood requirements in accordance with Section 1612, including lowest floor elevations, enclosures, </w:t>
            </w:r>
            <w:r w:rsidRPr="00F901B7">
              <w:rPr>
                <w:rFonts w:ascii="Arial" w:hAnsi="Arial" w:cs="Arial"/>
                <w:sz w:val="22"/>
                <w:szCs w:val="22"/>
                <w:u w:val="single"/>
              </w:rPr>
              <w:t xml:space="preserve">declaration of land restriction (nonconversion agreement), </w:t>
            </w:r>
            <w:r w:rsidRPr="00F901B7">
              <w:rPr>
                <w:rFonts w:ascii="Arial" w:hAnsi="Arial" w:cs="Arial"/>
                <w:sz w:val="22"/>
                <w:szCs w:val="22"/>
              </w:rPr>
              <w:t>flood damage-resistant materials.</w:t>
            </w:r>
          </w:p>
          <w:p w14:paraId="4302A978" w14:textId="77777777" w:rsidR="0002485D" w:rsidRPr="00F901B7" w:rsidRDefault="0002485D" w:rsidP="00B3250F">
            <w:pPr>
              <w:autoSpaceDE w:val="0"/>
              <w:autoSpaceDN w:val="0"/>
              <w:adjustRightInd w:val="0"/>
              <w:rPr>
                <w:rFonts w:ascii="Arial" w:hAnsi="Arial" w:cs="Arial"/>
              </w:rPr>
            </w:pPr>
          </w:p>
        </w:tc>
      </w:tr>
      <w:tr w:rsidR="0002485D" w14:paraId="3EA28071" w14:textId="77777777" w:rsidTr="00B3250F">
        <w:tc>
          <w:tcPr>
            <w:tcW w:w="8370" w:type="dxa"/>
          </w:tcPr>
          <w:p w14:paraId="36234AF8" w14:textId="2A7490B5" w:rsidR="0002485D" w:rsidRPr="00F901B7" w:rsidRDefault="0002485D" w:rsidP="00B3250F">
            <w:pPr>
              <w:pStyle w:val="BodyText"/>
              <w:spacing w:after="0"/>
              <w:ind w:left="720"/>
              <w:rPr>
                <w:rFonts w:ascii="Arial" w:hAnsi="Arial" w:cs="Arial"/>
                <w:sz w:val="22"/>
                <w:szCs w:val="22"/>
              </w:rPr>
            </w:pPr>
            <w:r w:rsidRPr="00F901B7">
              <w:rPr>
                <w:rFonts w:ascii="Arial" w:hAnsi="Arial" w:cs="Arial"/>
                <w:b/>
                <w:sz w:val="22"/>
                <w:szCs w:val="22"/>
              </w:rPr>
              <w:lastRenderedPageBreak/>
              <w:t>Residential (one- and two-family)</w:t>
            </w:r>
            <w:r w:rsidR="00EB5901">
              <w:rPr>
                <w:rFonts w:ascii="Arial" w:hAnsi="Arial" w:cs="Arial"/>
                <w:b/>
                <w:sz w:val="22"/>
                <w:szCs w:val="22"/>
              </w:rPr>
              <w:t>:</w:t>
            </w:r>
          </w:p>
          <w:p w14:paraId="02FFD42E" w14:textId="77777777" w:rsidR="0002485D" w:rsidRPr="00F901B7" w:rsidRDefault="0002485D" w:rsidP="00B3250F">
            <w:pPr>
              <w:pStyle w:val="BodyText"/>
              <w:spacing w:after="0"/>
              <w:ind w:left="720"/>
              <w:rPr>
                <w:rFonts w:ascii="Arial" w:hAnsi="Arial" w:cs="Arial"/>
                <w:sz w:val="22"/>
                <w:szCs w:val="22"/>
              </w:rPr>
            </w:pPr>
            <w:r w:rsidRPr="00F901B7">
              <w:rPr>
                <w:rFonts w:ascii="Arial" w:hAnsi="Arial" w:cs="Arial"/>
                <w:sz w:val="22"/>
                <w:szCs w:val="22"/>
              </w:rPr>
              <w:t>6. Structural requirements shall include:</w:t>
            </w:r>
          </w:p>
          <w:p w14:paraId="2B7B9226" w14:textId="77777777" w:rsidR="0002485D" w:rsidRPr="00F901B7" w:rsidRDefault="0002485D" w:rsidP="00B3250F">
            <w:pPr>
              <w:pStyle w:val="BodyText"/>
              <w:spacing w:after="0"/>
              <w:ind w:left="1440"/>
              <w:rPr>
                <w:rFonts w:ascii="Arial" w:hAnsi="Arial" w:cs="Arial"/>
                <w:sz w:val="22"/>
                <w:szCs w:val="22"/>
              </w:rPr>
            </w:pPr>
            <w:r w:rsidRPr="00F901B7">
              <w:rPr>
                <w:rFonts w:ascii="Arial" w:hAnsi="Arial" w:cs="Arial"/>
                <w:sz w:val="22"/>
                <w:szCs w:val="22"/>
              </w:rPr>
              <w:t xml:space="preserve">Flood hazard areas, flood zones, design flood elevations, lowest floor elevations, enclosures, </w:t>
            </w:r>
            <w:r w:rsidRPr="00F901B7">
              <w:rPr>
                <w:rFonts w:ascii="Arial" w:hAnsi="Arial" w:cs="Arial"/>
                <w:sz w:val="22"/>
                <w:szCs w:val="22"/>
                <w:u w:val="single"/>
              </w:rPr>
              <w:t>declaration of land restriction (nonconversion agreement),</w:t>
            </w:r>
            <w:r w:rsidRPr="00F901B7">
              <w:rPr>
                <w:rFonts w:ascii="Arial" w:hAnsi="Arial" w:cs="Arial"/>
                <w:sz w:val="22"/>
                <w:szCs w:val="22"/>
              </w:rPr>
              <w:t xml:space="preserve"> equipment, and flood damage-resistant materials.</w:t>
            </w:r>
          </w:p>
        </w:tc>
      </w:tr>
    </w:tbl>
    <w:p w14:paraId="7B264836" w14:textId="77777777" w:rsidR="0002485D" w:rsidRPr="0002485D" w:rsidRDefault="0002485D" w:rsidP="0002485D">
      <w:pPr>
        <w:rPr>
          <w:b/>
        </w:rPr>
      </w:pPr>
    </w:p>
    <w:sectPr w:rsidR="0002485D" w:rsidRPr="0002485D">
      <w:footerReference w:type="default" r:id="rId9"/>
      <w:footnotePr>
        <w:numFmt w:val="chicago"/>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38B22" w16cid:durableId="1DD27E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D114" w14:textId="77777777" w:rsidR="00CD7F94" w:rsidRDefault="00CD7F94" w:rsidP="0002485D">
      <w:r>
        <w:separator/>
      </w:r>
    </w:p>
  </w:endnote>
  <w:endnote w:type="continuationSeparator" w:id="0">
    <w:p w14:paraId="6838310A" w14:textId="77777777" w:rsidR="00CD7F94" w:rsidRDefault="00CD7F94" w:rsidP="0002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D0EC" w14:textId="3119F797" w:rsidR="0002485D" w:rsidRPr="00435CF2" w:rsidRDefault="00B7168C" w:rsidP="0002485D">
    <w:pPr>
      <w:pStyle w:val="Footer"/>
      <w:rPr>
        <w:rFonts w:ascii="Arial" w:hAnsi="Arial" w:cs="Arial"/>
        <w:sz w:val="20"/>
        <w:szCs w:val="20"/>
      </w:rPr>
    </w:pPr>
    <w:r>
      <w:rPr>
        <w:rFonts w:ascii="Arial" w:hAnsi="Arial" w:cs="Arial"/>
        <w:sz w:val="20"/>
        <w:szCs w:val="20"/>
      </w:rPr>
      <w:t>Enclosure Limits</w:t>
    </w:r>
    <w:r w:rsidR="0002485D" w:rsidRPr="00A810CC">
      <w:rPr>
        <w:rFonts w:ascii="Arial" w:hAnsi="Arial" w:cs="Arial"/>
        <w:sz w:val="20"/>
        <w:szCs w:val="20"/>
      </w:rPr>
      <w:t xml:space="preserve">:  </w:t>
    </w:r>
    <w:r w:rsidR="0002485D">
      <w:rPr>
        <w:rFonts w:ascii="Arial" w:hAnsi="Arial" w:cs="Arial"/>
        <w:sz w:val="20"/>
        <w:szCs w:val="20"/>
      </w:rPr>
      <w:t>Declaration of Land Restriction (Nonconversion Agreement)</w:t>
    </w:r>
    <w:r w:rsidR="0002485D" w:rsidRPr="00A810CC">
      <w:rPr>
        <w:rFonts w:ascii="Arial" w:hAnsi="Arial" w:cs="Arial"/>
        <w:sz w:val="20"/>
        <w:szCs w:val="20"/>
      </w:rPr>
      <w:t xml:space="preserve"> (</w:t>
    </w:r>
    <w:r>
      <w:rPr>
        <w:rFonts w:ascii="Arial" w:hAnsi="Arial" w:cs="Arial"/>
        <w:sz w:val="20"/>
        <w:szCs w:val="20"/>
      </w:rPr>
      <w:t>0</w:t>
    </w:r>
    <w:r w:rsidR="0098710F">
      <w:rPr>
        <w:rFonts w:ascii="Arial" w:hAnsi="Arial" w:cs="Arial"/>
        <w:sz w:val="20"/>
        <w:szCs w:val="20"/>
      </w:rPr>
      <w:t>428</w:t>
    </w:r>
    <w:r w:rsidR="009B3377">
      <w:rPr>
        <w:rFonts w:ascii="Arial" w:hAnsi="Arial" w:cs="Arial"/>
        <w:sz w:val="20"/>
        <w:szCs w:val="20"/>
      </w:rPr>
      <w:t>18</w:t>
    </w:r>
    <w:r w:rsidR="0002485D" w:rsidRPr="00435CF2">
      <w:rPr>
        <w:rFonts w:ascii="Arial" w:hAnsi="Arial" w:cs="Arial"/>
        <w:sz w:val="20"/>
        <w:szCs w:val="20"/>
      </w:rPr>
      <w:t xml:space="preserve">) </w:t>
    </w:r>
    <w:r w:rsidR="0002485D" w:rsidRPr="00435CF2">
      <w:rPr>
        <w:rFonts w:ascii="Arial" w:hAnsi="Arial" w:cs="Arial"/>
        <w:sz w:val="20"/>
        <w:szCs w:val="20"/>
      </w:rPr>
      <w:tab/>
    </w:r>
    <w:r w:rsidR="0002485D" w:rsidRPr="00435CF2">
      <w:rPr>
        <w:rFonts w:ascii="Arial" w:hAnsi="Arial" w:cs="Arial"/>
        <w:sz w:val="20"/>
        <w:szCs w:val="20"/>
      </w:rPr>
      <w:fldChar w:fldCharType="begin"/>
    </w:r>
    <w:r w:rsidR="0002485D" w:rsidRPr="00435CF2">
      <w:rPr>
        <w:rFonts w:ascii="Arial" w:hAnsi="Arial" w:cs="Arial"/>
        <w:sz w:val="20"/>
        <w:szCs w:val="20"/>
      </w:rPr>
      <w:instrText xml:space="preserve"> PAGE   \* MERGEFORMAT </w:instrText>
    </w:r>
    <w:r w:rsidR="0002485D" w:rsidRPr="00435CF2">
      <w:rPr>
        <w:rFonts w:ascii="Arial" w:hAnsi="Arial" w:cs="Arial"/>
        <w:sz w:val="20"/>
        <w:szCs w:val="20"/>
      </w:rPr>
      <w:fldChar w:fldCharType="separate"/>
    </w:r>
    <w:r w:rsidR="0098710F">
      <w:rPr>
        <w:rFonts w:ascii="Arial" w:hAnsi="Arial" w:cs="Arial"/>
        <w:noProof/>
        <w:sz w:val="20"/>
        <w:szCs w:val="20"/>
      </w:rPr>
      <w:t>2</w:t>
    </w:r>
    <w:r w:rsidR="0002485D" w:rsidRPr="00435CF2">
      <w:rPr>
        <w:rFonts w:ascii="Arial" w:hAnsi="Arial" w:cs="Arial"/>
        <w:sz w:val="20"/>
        <w:szCs w:val="20"/>
      </w:rPr>
      <w:fldChar w:fldCharType="end"/>
    </w:r>
  </w:p>
  <w:p w14:paraId="3E57D343" w14:textId="77777777" w:rsidR="0002485D" w:rsidRDefault="0002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1353" w14:textId="77777777" w:rsidR="00CD7F94" w:rsidRDefault="00CD7F94" w:rsidP="0002485D">
      <w:r>
        <w:separator/>
      </w:r>
    </w:p>
  </w:footnote>
  <w:footnote w:type="continuationSeparator" w:id="0">
    <w:p w14:paraId="00BC84A5" w14:textId="77777777" w:rsidR="00CD7F94" w:rsidRDefault="00CD7F94" w:rsidP="0002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B86"/>
    <w:multiLevelType w:val="hybridMultilevel"/>
    <w:tmpl w:val="8C5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57DE3"/>
    <w:multiLevelType w:val="hybridMultilevel"/>
    <w:tmpl w:val="6CE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5D"/>
    <w:rsid w:val="0000023D"/>
    <w:rsid w:val="0002485D"/>
    <w:rsid w:val="000607BE"/>
    <w:rsid w:val="000615AE"/>
    <w:rsid w:val="000711C1"/>
    <w:rsid w:val="0009448B"/>
    <w:rsid w:val="000C46E4"/>
    <w:rsid w:val="002338DA"/>
    <w:rsid w:val="002C5850"/>
    <w:rsid w:val="003373F6"/>
    <w:rsid w:val="00345944"/>
    <w:rsid w:val="00352DCE"/>
    <w:rsid w:val="003561E6"/>
    <w:rsid w:val="003A6B0B"/>
    <w:rsid w:val="00404DB7"/>
    <w:rsid w:val="00421733"/>
    <w:rsid w:val="004347EA"/>
    <w:rsid w:val="0046023A"/>
    <w:rsid w:val="004A75C1"/>
    <w:rsid w:val="004C776B"/>
    <w:rsid w:val="006B1F80"/>
    <w:rsid w:val="006B57D9"/>
    <w:rsid w:val="007451F3"/>
    <w:rsid w:val="007D1A7C"/>
    <w:rsid w:val="00832227"/>
    <w:rsid w:val="00887B96"/>
    <w:rsid w:val="008F0AC5"/>
    <w:rsid w:val="00906CEC"/>
    <w:rsid w:val="00954896"/>
    <w:rsid w:val="00956FD0"/>
    <w:rsid w:val="0098710F"/>
    <w:rsid w:val="009B3377"/>
    <w:rsid w:val="00B7168C"/>
    <w:rsid w:val="00C61BF5"/>
    <w:rsid w:val="00C80A21"/>
    <w:rsid w:val="00CD4A36"/>
    <w:rsid w:val="00CD7F94"/>
    <w:rsid w:val="00DA58B0"/>
    <w:rsid w:val="00EB5901"/>
    <w:rsid w:val="00F9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0DB2"/>
  <w15:docId w15:val="{8D7423B4-43D7-42A5-AFC6-185586F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5D"/>
    <w:rPr>
      <w:color w:val="0000FF"/>
      <w:u w:val="single"/>
    </w:rPr>
  </w:style>
  <w:style w:type="paragraph" w:styleId="ListParagraph">
    <w:name w:val="List Paragraph"/>
    <w:basedOn w:val="Normal"/>
    <w:uiPriority w:val="34"/>
    <w:qFormat/>
    <w:rsid w:val="0002485D"/>
    <w:pPr>
      <w:spacing w:after="120"/>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485D"/>
    <w:rPr>
      <w:sz w:val="16"/>
      <w:szCs w:val="16"/>
    </w:rPr>
  </w:style>
  <w:style w:type="paragraph" w:styleId="CommentText">
    <w:name w:val="annotation text"/>
    <w:basedOn w:val="Normal"/>
    <w:link w:val="CommentTextChar"/>
    <w:uiPriority w:val="99"/>
    <w:semiHidden/>
    <w:unhideWhenUsed/>
    <w:rsid w:val="0002485D"/>
    <w:rPr>
      <w:sz w:val="20"/>
      <w:szCs w:val="20"/>
    </w:rPr>
  </w:style>
  <w:style w:type="character" w:customStyle="1" w:styleId="CommentTextChar">
    <w:name w:val="Comment Text Char"/>
    <w:basedOn w:val="DefaultParagraphFont"/>
    <w:link w:val="CommentText"/>
    <w:uiPriority w:val="99"/>
    <w:semiHidden/>
    <w:rsid w:val="0002485D"/>
    <w:rPr>
      <w:sz w:val="20"/>
      <w:szCs w:val="20"/>
    </w:rPr>
  </w:style>
  <w:style w:type="paragraph" w:styleId="CommentSubject">
    <w:name w:val="annotation subject"/>
    <w:basedOn w:val="CommentText"/>
    <w:next w:val="CommentText"/>
    <w:link w:val="CommentSubjectChar"/>
    <w:uiPriority w:val="99"/>
    <w:semiHidden/>
    <w:unhideWhenUsed/>
    <w:rsid w:val="0002485D"/>
    <w:rPr>
      <w:b/>
      <w:bCs/>
    </w:rPr>
  </w:style>
  <w:style w:type="character" w:customStyle="1" w:styleId="CommentSubjectChar">
    <w:name w:val="Comment Subject Char"/>
    <w:basedOn w:val="CommentTextChar"/>
    <w:link w:val="CommentSubject"/>
    <w:uiPriority w:val="99"/>
    <w:semiHidden/>
    <w:rsid w:val="0002485D"/>
    <w:rPr>
      <w:b/>
      <w:bCs/>
      <w:sz w:val="20"/>
      <w:szCs w:val="20"/>
    </w:rPr>
  </w:style>
  <w:style w:type="paragraph" w:styleId="BalloonText">
    <w:name w:val="Balloon Text"/>
    <w:basedOn w:val="Normal"/>
    <w:link w:val="BalloonTextChar"/>
    <w:uiPriority w:val="99"/>
    <w:semiHidden/>
    <w:unhideWhenUsed/>
    <w:rsid w:val="0002485D"/>
    <w:rPr>
      <w:rFonts w:ascii="Tahoma" w:hAnsi="Tahoma" w:cs="Tahoma"/>
      <w:sz w:val="16"/>
      <w:szCs w:val="16"/>
    </w:rPr>
  </w:style>
  <w:style w:type="character" w:customStyle="1" w:styleId="BalloonTextChar">
    <w:name w:val="Balloon Text Char"/>
    <w:basedOn w:val="DefaultParagraphFont"/>
    <w:link w:val="BalloonText"/>
    <w:uiPriority w:val="99"/>
    <w:semiHidden/>
    <w:rsid w:val="0002485D"/>
    <w:rPr>
      <w:rFonts w:ascii="Tahoma" w:hAnsi="Tahoma" w:cs="Tahoma"/>
      <w:sz w:val="16"/>
      <w:szCs w:val="16"/>
    </w:rPr>
  </w:style>
  <w:style w:type="table" w:styleId="TableGrid">
    <w:name w:val="Table Grid"/>
    <w:basedOn w:val="TableNormal"/>
    <w:uiPriority w:val="59"/>
    <w:rsid w:val="0002485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2485D"/>
    <w:pPr>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2485D"/>
    <w:rPr>
      <w:rFonts w:ascii="Times New Roman" w:hAnsi="Times New Roman" w:cs="Times New Roman"/>
      <w:sz w:val="24"/>
      <w:szCs w:val="24"/>
    </w:rPr>
  </w:style>
  <w:style w:type="paragraph" w:styleId="Header">
    <w:name w:val="header"/>
    <w:basedOn w:val="Normal"/>
    <w:link w:val="HeaderChar"/>
    <w:uiPriority w:val="99"/>
    <w:unhideWhenUsed/>
    <w:rsid w:val="0002485D"/>
    <w:pPr>
      <w:tabs>
        <w:tab w:val="center" w:pos="4680"/>
        <w:tab w:val="right" w:pos="9360"/>
      </w:tabs>
    </w:pPr>
  </w:style>
  <w:style w:type="character" w:customStyle="1" w:styleId="HeaderChar">
    <w:name w:val="Header Char"/>
    <w:basedOn w:val="DefaultParagraphFont"/>
    <w:link w:val="Header"/>
    <w:uiPriority w:val="99"/>
    <w:rsid w:val="0002485D"/>
  </w:style>
  <w:style w:type="paragraph" w:styleId="Footer">
    <w:name w:val="footer"/>
    <w:basedOn w:val="Normal"/>
    <w:link w:val="FooterChar"/>
    <w:uiPriority w:val="99"/>
    <w:unhideWhenUsed/>
    <w:rsid w:val="0002485D"/>
    <w:pPr>
      <w:tabs>
        <w:tab w:val="center" w:pos="4680"/>
        <w:tab w:val="right" w:pos="9360"/>
      </w:tabs>
    </w:pPr>
  </w:style>
  <w:style w:type="character" w:customStyle="1" w:styleId="FooterChar">
    <w:name w:val="Footer Char"/>
    <w:basedOn w:val="DefaultParagraphFont"/>
    <w:link w:val="Footer"/>
    <w:uiPriority w:val="99"/>
    <w:rsid w:val="0002485D"/>
  </w:style>
  <w:style w:type="paragraph" w:styleId="FootnoteText">
    <w:name w:val="footnote text"/>
    <w:basedOn w:val="Normal"/>
    <w:link w:val="FootnoteTextChar"/>
    <w:uiPriority w:val="99"/>
    <w:semiHidden/>
    <w:unhideWhenUsed/>
    <w:rsid w:val="003A6B0B"/>
    <w:rPr>
      <w:sz w:val="20"/>
      <w:szCs w:val="20"/>
    </w:rPr>
  </w:style>
  <w:style w:type="character" w:customStyle="1" w:styleId="FootnoteTextChar">
    <w:name w:val="Footnote Text Char"/>
    <w:basedOn w:val="DefaultParagraphFont"/>
    <w:link w:val="FootnoteText"/>
    <w:uiPriority w:val="99"/>
    <w:semiHidden/>
    <w:rsid w:val="003A6B0B"/>
    <w:rPr>
      <w:sz w:val="20"/>
      <w:szCs w:val="20"/>
    </w:rPr>
  </w:style>
  <w:style w:type="character" w:styleId="FootnoteReference">
    <w:name w:val="footnote reference"/>
    <w:basedOn w:val="DefaultParagraphFont"/>
    <w:uiPriority w:val="99"/>
    <w:semiHidden/>
    <w:unhideWhenUsed/>
    <w:rsid w:val="003A6B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disaster.org/dem/mitigation/floodplai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DJ2Q4QMTSXDE-2019941464-45</_dlc_DocId>
    <_dlc_DocIdUrl xmlns="c5b6c147-ef76-4a96-8e99-c47a86f2ca05">
      <Url>https://portal.floridadisaster.org/mitigation/SFMP/_layouts/15/DocIdRedir.aspx?ID=DJ2Q4QMTSXDE-2019941464-45</Url>
      <Description>DJ2Q4QMTSXDE-2019941464-45</Description>
    </_dlc_DocIdUrl>
  </documentManagement>
</p:properties>
</file>

<file path=customXml/itemProps1.xml><?xml version="1.0" encoding="utf-8"?>
<ds:datastoreItem xmlns:ds="http://schemas.openxmlformats.org/officeDocument/2006/customXml" ds:itemID="{A248A1D3-6E85-424B-9684-AA833EC0698A}">
  <ds:schemaRefs>
    <ds:schemaRef ds:uri="http://schemas.openxmlformats.org/officeDocument/2006/bibliography"/>
  </ds:schemaRefs>
</ds:datastoreItem>
</file>

<file path=customXml/itemProps2.xml><?xml version="1.0" encoding="utf-8"?>
<ds:datastoreItem xmlns:ds="http://schemas.openxmlformats.org/officeDocument/2006/customXml" ds:itemID="{B4AA5A91-7F68-4F1D-92AC-057F81C173ED}"/>
</file>

<file path=customXml/itemProps3.xml><?xml version="1.0" encoding="utf-8"?>
<ds:datastoreItem xmlns:ds="http://schemas.openxmlformats.org/officeDocument/2006/customXml" ds:itemID="{381A1F8A-D5BB-4BA2-80AA-C22417C6138D}"/>
</file>

<file path=customXml/itemProps4.xml><?xml version="1.0" encoding="utf-8"?>
<ds:datastoreItem xmlns:ds="http://schemas.openxmlformats.org/officeDocument/2006/customXml" ds:itemID="{2918EEDA-4709-47E6-BE7D-621D26B0FC32}"/>
</file>

<file path=customXml/itemProps5.xml><?xml version="1.0" encoding="utf-8"?>
<ds:datastoreItem xmlns:ds="http://schemas.openxmlformats.org/officeDocument/2006/customXml" ds:itemID="{69D4DA0B-A45B-403C-BC42-D83B451B95C8}"/>
</file>

<file path=docProps/app.xml><?xml version="1.0" encoding="utf-8"?>
<Properties xmlns="http://schemas.openxmlformats.org/officeDocument/2006/extended-properties" xmlns:vt="http://schemas.openxmlformats.org/officeDocument/2006/docPropsVTypes">
  <Template>Normal.dotm</Template>
  <TotalTime>42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Chapman</dc:creator>
  <cp:lastModifiedBy>Rebecca Quinn</cp:lastModifiedBy>
  <cp:revision>8</cp:revision>
  <dcterms:created xsi:type="dcterms:W3CDTF">2017-12-06T19:26:00Z</dcterms:created>
  <dcterms:modified xsi:type="dcterms:W3CDTF">2018-04-28T16:42:00Z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d035ee72-5342-43a4-8100-cf98a33acc66</vt:lpwstr>
  </property>
</Properties>
</file>